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utoSpaceDE/>
        <w:autoSpaceDN/>
        <w:snapToGrid w:val="0"/>
        <w:spacing w:before="0" w:after="200" w:line="220" w:lineRule="atLeast"/>
        <w:ind w:right="0" w:firstLine="0"/>
        <w:jc w:val="center"/>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center"/>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center"/>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0"/>
          <w:szCs w:val="40"/>
        </w:rPr>
      </w:pPr>
      <w:r>
        <w:rPr>
          <w:rFonts w:hint="default" w:ascii="宋体" w:hAnsi="宋体" w:eastAsia="宋体"/>
          <w:b/>
          <w:color w:val="auto"/>
          <w:position w:val="0"/>
          <w:sz w:val="40"/>
          <w:szCs w:val="40"/>
        </w:rPr>
        <w:t>小</w:t>
      </w:r>
      <w:bookmarkStart w:id="587" w:name="_GoBack"/>
      <w:r>
        <w:rPr>
          <w:rFonts w:hint="default" w:ascii="宋体" w:hAnsi="宋体" w:eastAsia="宋体"/>
          <w:b/>
          <w:color w:val="auto"/>
          <w:position w:val="0"/>
          <w:sz w:val="40"/>
          <w:szCs w:val="40"/>
        </w:rPr>
        <w:t>楼门星级厕所改建工程（二次）</w:t>
      </w:r>
    </w:p>
    <w:p>
      <w:pPr>
        <w:numPr>
          <w:ilvl w:val="0"/>
          <w:numId w:val="0"/>
        </w:numPr>
        <w:autoSpaceDE/>
        <w:autoSpaceDN/>
        <w:snapToGrid w:val="0"/>
        <w:spacing w:before="0" w:after="200" w:line="220" w:lineRule="atLeast"/>
        <w:ind w:right="0" w:firstLine="0"/>
        <w:jc w:val="center"/>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center"/>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center"/>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竞</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争</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性</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谈</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判</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文</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件</w:t>
      </w:r>
    </w:p>
    <w:bookmarkEnd w:id="587"/>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28"/>
          <w:szCs w:val="28"/>
        </w:rPr>
      </w:pPr>
      <w:r>
        <w:rPr>
          <w:rFonts w:hint="default" w:ascii="宋体" w:hAnsi="宋体" w:eastAsia="宋体"/>
          <w:b/>
          <w:color w:val="auto"/>
          <w:position w:val="0"/>
          <w:sz w:val="28"/>
          <w:szCs w:val="28"/>
        </w:rPr>
        <w:t xml:space="preserve"> 采 购 人：</w:t>
      </w:r>
      <w:r>
        <w:rPr>
          <w:rFonts w:hint="default" w:ascii="宋体" w:hAnsi="宋体" w:eastAsia="宋体"/>
          <w:b/>
          <w:color w:val="auto"/>
          <w:position w:val="0"/>
          <w:sz w:val="28"/>
          <w:szCs w:val="28"/>
          <w:u w:val="single"/>
        </w:rPr>
        <w:t>恩施大峡谷旅游开发有限公司</w:t>
      </w:r>
    </w:p>
    <w:p>
      <w:pPr>
        <w:numPr>
          <w:ilvl w:val="0"/>
          <w:numId w:val="0"/>
        </w:numPr>
        <w:autoSpaceDE/>
        <w:autoSpaceDN/>
        <w:snapToGrid w:val="0"/>
        <w:spacing w:before="0" w:after="200" w:line="220" w:lineRule="atLeast"/>
        <w:ind w:right="0" w:firstLine="1687"/>
        <w:jc w:val="left"/>
        <w:rPr>
          <w:rFonts w:hint="default" w:ascii="宋体" w:hAnsi="宋体" w:eastAsia="宋体"/>
          <w:b/>
          <w:color w:val="auto"/>
          <w:position w:val="0"/>
          <w:sz w:val="28"/>
          <w:szCs w:val="28"/>
          <w:u w:val="single"/>
        </w:rPr>
      </w:pPr>
      <w:r>
        <w:rPr>
          <w:rFonts w:hint="default" w:ascii="宋体" w:hAnsi="宋体" w:eastAsia="宋体"/>
          <w:b/>
          <w:color w:val="auto"/>
          <w:position w:val="0"/>
          <w:sz w:val="28"/>
          <w:szCs w:val="28"/>
        </w:rPr>
        <w:t>采购编号：</w:t>
      </w:r>
      <w:r>
        <w:rPr>
          <w:rFonts w:hint="default" w:ascii="宋体" w:hAnsi="宋体" w:eastAsia="宋体"/>
          <w:b/>
          <w:color w:val="auto"/>
          <w:position w:val="0"/>
          <w:sz w:val="28"/>
          <w:szCs w:val="28"/>
          <w:u w:val="single"/>
        </w:rPr>
        <w:t xml:space="preserve">       ESDXG-WX2018006        </w:t>
      </w:r>
    </w:p>
    <w:p>
      <w:pPr>
        <w:numPr>
          <w:ilvl w:val="0"/>
          <w:numId w:val="0"/>
        </w:numPr>
        <w:autoSpaceDE/>
        <w:autoSpaceDN/>
        <w:snapToGrid w:val="0"/>
        <w:spacing w:before="0" w:after="200" w:line="220" w:lineRule="atLeast"/>
        <w:ind w:right="0" w:firstLine="0"/>
        <w:jc w:val="center"/>
        <w:rPr>
          <w:rFonts w:hint="default" w:ascii="仿宋" w:hAnsi="仿宋" w:eastAsia="仿宋"/>
          <w:b/>
          <w:color w:val="auto"/>
          <w:position w:val="0"/>
          <w:sz w:val="32"/>
          <w:szCs w:val="32"/>
        </w:rPr>
      </w:pPr>
      <w:r>
        <w:rPr>
          <w:rFonts w:hint="default" w:ascii="仿宋" w:hAnsi="仿宋" w:eastAsia="仿宋"/>
          <w:b/>
          <w:color w:val="auto"/>
          <w:position w:val="0"/>
          <w:sz w:val="32"/>
          <w:szCs w:val="32"/>
        </w:rPr>
        <w:t xml:space="preserve">       2018年06月</w:t>
      </w: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pStyle w:val="42"/>
        <w:numPr>
          <w:ilvl w:val="0"/>
          <w:numId w:val="0"/>
        </w:numPr>
        <w:autoSpaceDE/>
        <w:autoSpaceDN/>
        <w:snapToGrid/>
        <w:spacing w:before="480" w:after="0" w:line="276" w:lineRule="auto"/>
        <w:ind w:right="0" w:firstLine="0"/>
        <w:jc w:val="center"/>
        <w:rPr>
          <w:rFonts w:hint="default" w:ascii="Cambria" w:hAnsi="宋体" w:eastAsia="宋体"/>
          <w:b/>
          <w:color w:val="366091" w:themeColor="accent1" w:themeShade="BF"/>
          <w:position w:val="0"/>
          <w:sz w:val="28"/>
          <w:szCs w:val="28"/>
        </w:rPr>
      </w:pPr>
      <w:r>
        <w:rPr>
          <w:rFonts w:hint="default" w:ascii="Cambria" w:hAnsi="宋体" w:eastAsia="宋体"/>
          <w:b/>
          <w:color w:val="auto"/>
          <w:position w:val="0"/>
          <w:sz w:val="32"/>
          <w:szCs w:val="32"/>
        </w:rPr>
        <w:t>目            录</w:t>
      </w:r>
    </w:p>
    <w:p>
      <w:pPr>
        <w:pStyle w:val="19"/>
        <w:numPr>
          <w:ilvl w:val="0"/>
          <w:numId w:val="0"/>
        </w:numPr>
        <w:tabs>
          <w:tab w:val="right" w:leader="dot" w:pos="8296"/>
        </w:tabs>
        <w:autoSpaceDE/>
        <w:autoSpaceDN/>
        <w:snapToGrid w:val="0"/>
        <w:spacing w:before="0" w:after="200" w:line="240" w:lineRule="auto"/>
        <w:ind w:right="0" w:firstLine="0"/>
        <w:jc w:val="left"/>
        <w:rPr>
          <w:rFonts w:hint="default" w:ascii="Calibri" w:hAnsi="宋体" w:eastAsia="宋体"/>
          <w:color w:val="auto"/>
          <w:position w:val="0"/>
          <w:sz w:val="21"/>
          <w:szCs w:val="21"/>
        </w:rPr>
      </w:pPr>
      <w:r>
        <w:rPr>
          <w:rFonts w:hint="default" w:ascii="Tahoma" w:hAnsi="Tahoma" w:eastAsia="Tahoma"/>
          <w:color w:val="auto"/>
          <w:position w:val="0"/>
          <w:sz w:val="22"/>
          <w:szCs w:val="22"/>
        </w:rPr>
        <w:fldChar w:fldCharType="begin"/>
      </w:r>
      <w:r>
        <w:instrText xml:space="preserve">TOC</w:instrText>
      </w:r>
      <w:r>
        <w:fldChar w:fldCharType="separate"/>
      </w:r>
      <w:r>
        <w:fldChar w:fldCharType="begin"/>
      </w:r>
      <w:r>
        <w:instrText xml:space="preserve"> HYPERLINK \l "_Toc504125538" \h </w:instrText>
      </w:r>
      <w:r>
        <w:fldChar w:fldCharType="separate"/>
      </w:r>
      <w:r>
        <w:rPr>
          <w:rStyle w:val="30"/>
          <w:rFonts w:hint="default" w:ascii="宋体" w:hAnsi="Tahoma" w:eastAsia="Tahoma"/>
          <w:color w:val="auto"/>
          <w:position w:val="0"/>
          <w:sz w:val="22"/>
          <w:szCs w:val="22"/>
          <w:u w:val="none"/>
        </w:rPr>
        <w:t>第一章谈判公告</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_Toc504125538\* MERGEFORMAT</w:instrText>
      </w:r>
      <w:r>
        <w:fldChar w:fldCharType="separate"/>
      </w:r>
      <w:r>
        <w:rPr>
          <w:rFonts w:hint="default" w:ascii="Tahoma" w:hAnsi="Tahoma" w:eastAsia="Tahoma"/>
          <w:color w:val="auto"/>
          <w:position w:val="0"/>
          <w:sz w:val="22"/>
          <w:szCs w:val="22"/>
        </w:rPr>
        <w:t>1</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pStyle w:val="19"/>
        <w:numPr>
          <w:ilvl w:val="0"/>
          <w:numId w:val="0"/>
        </w:numPr>
        <w:tabs>
          <w:tab w:val="right" w:leader="dot" w:pos="8296"/>
        </w:tabs>
        <w:autoSpaceDE/>
        <w:autoSpaceDN/>
        <w:snapToGrid w:val="0"/>
        <w:spacing w:before="0" w:after="200" w:line="240" w:lineRule="auto"/>
        <w:ind w:right="0" w:firstLine="0"/>
        <w:jc w:val="left"/>
        <w:rPr>
          <w:rFonts w:hint="default" w:ascii="Calibri" w:hAnsi="宋体" w:eastAsia="宋体"/>
          <w:color w:val="auto"/>
          <w:position w:val="0"/>
          <w:sz w:val="21"/>
          <w:szCs w:val="21"/>
        </w:rPr>
      </w:pPr>
      <w:r>
        <w:fldChar w:fldCharType="begin"/>
      </w:r>
      <w:r>
        <w:instrText xml:space="preserve"> HYPERLINK \l "_Toc504125539" \h </w:instrText>
      </w:r>
      <w:r>
        <w:fldChar w:fldCharType="separate"/>
      </w:r>
      <w:r>
        <w:rPr>
          <w:rStyle w:val="30"/>
          <w:rFonts w:hint="default" w:ascii="宋体" w:hAnsi="Tahoma" w:eastAsia="Tahoma"/>
          <w:color w:val="auto"/>
          <w:position w:val="0"/>
          <w:sz w:val="22"/>
          <w:szCs w:val="22"/>
          <w:u w:val="none"/>
        </w:rPr>
        <w:t>第二章投标人须知</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_Toc504125539\* MERGEFORMAT</w:instrText>
      </w:r>
      <w:r>
        <w:fldChar w:fldCharType="separate"/>
      </w:r>
      <w:r>
        <w:rPr>
          <w:rFonts w:hint="default" w:ascii="Tahoma" w:hAnsi="Tahoma" w:eastAsia="Tahoma"/>
          <w:color w:val="auto"/>
          <w:position w:val="0"/>
          <w:sz w:val="22"/>
          <w:szCs w:val="22"/>
        </w:rPr>
        <w:t>4</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pStyle w:val="19"/>
        <w:numPr>
          <w:ilvl w:val="0"/>
          <w:numId w:val="0"/>
        </w:numPr>
        <w:tabs>
          <w:tab w:val="right" w:leader="dot" w:pos="8296"/>
        </w:tabs>
        <w:autoSpaceDE/>
        <w:autoSpaceDN/>
        <w:snapToGrid w:val="0"/>
        <w:spacing w:before="0" w:after="200" w:line="240" w:lineRule="auto"/>
        <w:ind w:right="0" w:firstLine="0"/>
        <w:jc w:val="left"/>
        <w:rPr>
          <w:rFonts w:hint="default" w:ascii="Calibri" w:hAnsi="宋体" w:eastAsia="宋体"/>
          <w:color w:val="auto"/>
          <w:position w:val="0"/>
          <w:sz w:val="21"/>
          <w:szCs w:val="21"/>
        </w:rPr>
      </w:pPr>
      <w:r>
        <w:fldChar w:fldCharType="begin"/>
      </w:r>
      <w:r>
        <w:instrText xml:space="preserve"> HYPERLINK \l "_Toc504125540" \h </w:instrText>
      </w:r>
      <w:r>
        <w:fldChar w:fldCharType="separate"/>
      </w:r>
      <w:r>
        <w:rPr>
          <w:rStyle w:val="30"/>
          <w:rFonts w:hint="default" w:ascii="宋体" w:hAnsi="Tahoma" w:eastAsia="Tahoma"/>
          <w:color w:val="auto"/>
          <w:position w:val="0"/>
          <w:sz w:val="22"/>
          <w:szCs w:val="22"/>
          <w:u w:val="none"/>
        </w:rPr>
        <w:t>第三章评标办法（综合评分法）</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_Toc504125540\* MERGEFORMAT</w:instrText>
      </w:r>
      <w:r>
        <w:fldChar w:fldCharType="separate"/>
      </w:r>
      <w:r>
        <w:rPr>
          <w:rFonts w:hint="default" w:ascii="Tahoma" w:hAnsi="Tahoma" w:eastAsia="Tahoma"/>
          <w:color w:val="auto"/>
          <w:position w:val="0"/>
          <w:sz w:val="22"/>
          <w:szCs w:val="22"/>
        </w:rPr>
        <w:t>13</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pStyle w:val="14"/>
        <w:numPr>
          <w:ilvl w:val="0"/>
          <w:numId w:val="0"/>
        </w:numPr>
        <w:tabs>
          <w:tab w:val="right" w:leader="dot" w:pos="8296"/>
        </w:tabs>
        <w:autoSpaceDE/>
        <w:autoSpaceDN/>
        <w:snapToGrid w:val="0"/>
        <w:spacing w:before="0" w:after="200" w:line="240" w:lineRule="auto"/>
        <w:ind w:left="880" w:right="0" w:firstLine="0"/>
        <w:jc w:val="left"/>
        <w:rPr>
          <w:rFonts w:hint="default" w:ascii="Calibri" w:hAnsi="宋体" w:eastAsia="宋体"/>
          <w:color w:val="auto"/>
          <w:position w:val="0"/>
          <w:sz w:val="21"/>
          <w:szCs w:val="21"/>
        </w:rPr>
      </w:pPr>
      <w:r>
        <w:fldChar w:fldCharType="begin"/>
      </w:r>
      <w:r>
        <w:instrText xml:space="preserve"> HYPERLINK \l "_Toc504125541" \h </w:instrText>
      </w:r>
      <w:r>
        <w:fldChar w:fldCharType="separate"/>
      </w:r>
      <w:r>
        <w:rPr>
          <w:rStyle w:val="30"/>
          <w:rFonts w:hint="default" w:ascii="宋体" w:hAnsi="宋体" w:eastAsia="宋体"/>
          <w:color w:val="auto"/>
          <w:position w:val="0"/>
          <w:sz w:val="22"/>
          <w:szCs w:val="22"/>
          <w:u w:val="none"/>
        </w:rPr>
        <w:t>评标办法前附表</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_Toc504125541\* MERGEFORMAT</w:instrText>
      </w:r>
      <w:r>
        <w:fldChar w:fldCharType="separate"/>
      </w:r>
      <w:r>
        <w:rPr>
          <w:rFonts w:hint="default" w:ascii="Tahoma" w:hAnsi="Tahoma" w:eastAsia="Tahoma"/>
          <w:color w:val="auto"/>
          <w:position w:val="0"/>
          <w:sz w:val="22"/>
          <w:szCs w:val="22"/>
        </w:rPr>
        <w:t>13</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pStyle w:val="19"/>
        <w:numPr>
          <w:ilvl w:val="0"/>
          <w:numId w:val="0"/>
        </w:numPr>
        <w:tabs>
          <w:tab w:val="right" w:leader="dot" w:pos="8296"/>
        </w:tabs>
        <w:autoSpaceDE/>
        <w:autoSpaceDN/>
        <w:snapToGrid w:val="0"/>
        <w:spacing w:before="0" w:after="200" w:line="240" w:lineRule="auto"/>
        <w:ind w:right="0" w:firstLine="0"/>
        <w:jc w:val="left"/>
        <w:rPr>
          <w:rFonts w:hint="default" w:ascii="Calibri" w:hAnsi="宋体" w:eastAsia="宋体"/>
          <w:color w:val="auto"/>
          <w:position w:val="0"/>
          <w:sz w:val="21"/>
          <w:szCs w:val="21"/>
        </w:rPr>
      </w:pPr>
      <w:r>
        <w:fldChar w:fldCharType="begin"/>
      </w:r>
      <w:r>
        <w:instrText xml:space="preserve"> HYPERLINK \l "_Toc504125542" \h </w:instrText>
      </w:r>
      <w:r>
        <w:fldChar w:fldCharType="separate"/>
      </w:r>
      <w:r>
        <w:rPr>
          <w:rStyle w:val="30"/>
          <w:rFonts w:hint="default" w:ascii="宋体" w:hAnsi="Tahoma" w:eastAsia="Tahoma"/>
          <w:color w:val="auto"/>
          <w:position w:val="0"/>
          <w:sz w:val="22"/>
          <w:szCs w:val="22"/>
          <w:u w:val="none"/>
        </w:rPr>
        <w:t>第四章合同条款及格式</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_Toc504125542\* MERGEFORMAT</w:instrText>
      </w:r>
      <w:r>
        <w:fldChar w:fldCharType="separate"/>
      </w:r>
      <w:r>
        <w:rPr>
          <w:rFonts w:hint="default" w:ascii="Tahoma" w:hAnsi="Tahoma" w:eastAsia="Tahoma"/>
          <w:color w:val="auto"/>
          <w:position w:val="0"/>
          <w:sz w:val="22"/>
          <w:szCs w:val="22"/>
        </w:rPr>
        <w:t>19</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pStyle w:val="23"/>
        <w:numPr>
          <w:ilvl w:val="0"/>
          <w:numId w:val="0"/>
        </w:numPr>
        <w:tabs>
          <w:tab w:val="right" w:leader="dot" w:pos="8296"/>
        </w:tabs>
        <w:autoSpaceDE/>
        <w:autoSpaceDN/>
        <w:snapToGrid w:val="0"/>
        <w:spacing w:before="0" w:after="200" w:line="240" w:lineRule="auto"/>
        <w:ind w:left="440" w:right="0" w:firstLine="0"/>
        <w:jc w:val="left"/>
        <w:rPr>
          <w:rFonts w:hint="default" w:ascii="Calibri" w:hAnsi="宋体" w:eastAsia="宋体"/>
          <w:color w:val="auto"/>
          <w:position w:val="0"/>
          <w:sz w:val="21"/>
          <w:szCs w:val="21"/>
        </w:rPr>
      </w:pPr>
      <w:r>
        <w:fldChar w:fldCharType="begin"/>
      </w:r>
      <w:r>
        <w:instrText xml:space="preserve"> HYPERLINK \l "_Toc504125543" \h </w:instrText>
      </w:r>
      <w:r>
        <w:fldChar w:fldCharType="separate"/>
      </w:r>
      <w:r>
        <w:rPr>
          <w:rStyle w:val="30"/>
          <w:rFonts w:hint="default" w:ascii="宋体" w:hAnsi="Tahoma" w:eastAsia="Tahoma"/>
          <w:color w:val="auto"/>
          <w:position w:val="0"/>
          <w:sz w:val="22"/>
          <w:szCs w:val="22"/>
          <w:u w:val="none"/>
        </w:rPr>
        <w:t>附件一：湖北省房屋建筑和市政工程建设廉洁协议书</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_Toc504125543\* MERGEFORMAT</w:instrText>
      </w:r>
      <w:r>
        <w:fldChar w:fldCharType="separate"/>
      </w:r>
      <w:r>
        <w:rPr>
          <w:rFonts w:hint="default" w:ascii="Tahoma" w:hAnsi="Tahoma" w:eastAsia="Tahoma"/>
          <w:color w:val="auto"/>
          <w:position w:val="0"/>
          <w:sz w:val="22"/>
          <w:szCs w:val="22"/>
        </w:rPr>
        <w:t>40</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pStyle w:val="23"/>
        <w:numPr>
          <w:ilvl w:val="0"/>
          <w:numId w:val="0"/>
        </w:numPr>
        <w:tabs>
          <w:tab w:val="right" w:leader="dot" w:pos="8296"/>
        </w:tabs>
        <w:autoSpaceDE/>
        <w:autoSpaceDN/>
        <w:snapToGrid w:val="0"/>
        <w:spacing w:before="0" w:after="200" w:line="240" w:lineRule="auto"/>
        <w:ind w:left="440" w:right="0" w:firstLine="0"/>
        <w:jc w:val="left"/>
        <w:rPr>
          <w:rFonts w:hint="default" w:ascii="Calibri" w:hAnsi="宋体" w:eastAsia="宋体"/>
          <w:color w:val="auto"/>
          <w:position w:val="0"/>
          <w:sz w:val="21"/>
          <w:szCs w:val="21"/>
        </w:rPr>
      </w:pPr>
      <w:r>
        <w:fldChar w:fldCharType="begin"/>
      </w:r>
      <w:r>
        <w:instrText xml:space="preserve"> HYPERLINK \l "_Toc504125544" \h </w:instrText>
      </w:r>
      <w:r>
        <w:fldChar w:fldCharType="separate"/>
      </w:r>
      <w:r>
        <w:rPr>
          <w:rStyle w:val="30"/>
          <w:rFonts w:hint="default" w:ascii="宋体" w:hAnsi="宋体" w:eastAsia="宋体"/>
          <w:color w:val="auto"/>
          <w:position w:val="0"/>
          <w:sz w:val="22"/>
          <w:szCs w:val="22"/>
          <w:u w:val="none"/>
        </w:rPr>
        <w:t>附件二：工程结算资料编制质量要求</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_Toc504125544\* MERGEFORMAT</w:instrText>
      </w:r>
      <w:r>
        <w:fldChar w:fldCharType="separate"/>
      </w:r>
      <w:r>
        <w:rPr>
          <w:rFonts w:hint="default" w:ascii="Tahoma" w:hAnsi="Tahoma" w:eastAsia="Tahoma"/>
          <w:color w:val="auto"/>
          <w:position w:val="0"/>
          <w:sz w:val="22"/>
          <w:szCs w:val="22"/>
        </w:rPr>
        <w:t>43</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pStyle w:val="19"/>
        <w:numPr>
          <w:ilvl w:val="0"/>
          <w:numId w:val="0"/>
        </w:numPr>
        <w:tabs>
          <w:tab w:val="right" w:leader="dot" w:pos="8296"/>
        </w:tabs>
        <w:autoSpaceDE/>
        <w:autoSpaceDN/>
        <w:snapToGrid w:val="0"/>
        <w:spacing w:before="0" w:after="200" w:line="240" w:lineRule="auto"/>
        <w:ind w:right="0" w:firstLine="0"/>
        <w:jc w:val="left"/>
        <w:rPr>
          <w:rFonts w:hint="default" w:ascii="Calibri" w:hAnsi="宋体" w:eastAsia="宋体"/>
          <w:color w:val="auto"/>
          <w:position w:val="0"/>
          <w:sz w:val="21"/>
          <w:szCs w:val="21"/>
        </w:rPr>
      </w:pPr>
      <w:r>
        <w:fldChar w:fldCharType="begin"/>
      </w:r>
      <w:r>
        <w:instrText xml:space="preserve"> HYPERLINK \l "_Toc504125545" \h </w:instrText>
      </w:r>
      <w:r>
        <w:fldChar w:fldCharType="separate"/>
      </w:r>
      <w:r>
        <w:rPr>
          <w:rStyle w:val="30"/>
          <w:rFonts w:hint="default" w:ascii="宋体" w:hAnsi="Tahoma" w:eastAsia="Tahoma"/>
          <w:color w:val="auto"/>
          <w:position w:val="0"/>
          <w:sz w:val="22"/>
          <w:szCs w:val="22"/>
          <w:u w:val="none"/>
        </w:rPr>
        <w:t>第五章谈判响应文件格式</w:t>
      </w:r>
      <w:r>
        <w:rPr>
          <w:rFonts w:hint="default" w:ascii="Tahoma" w:hAnsi="Tahoma" w:eastAsia="Tahoma"/>
          <w:color w:val="auto"/>
          <w:position w:val="0"/>
          <w:sz w:val="22"/>
          <w:szCs w:val="22"/>
        </w:rPr>
        <w:tab/>
      </w:r>
      <w:r>
        <w:rPr>
          <w:rFonts w:hint="default" w:ascii="Tahoma" w:hAnsi="Tahoma" w:eastAsia="Tahoma"/>
          <w:color w:val="auto"/>
          <w:position w:val="0"/>
          <w:sz w:val="22"/>
          <w:szCs w:val="22"/>
        </w:rPr>
        <w:fldChar w:fldCharType="begin"/>
      </w:r>
      <w:r>
        <w:instrText xml:space="preserve">PAGEREF  _Toc504125545\* MERGEFORMAT</w:instrText>
      </w:r>
      <w:r>
        <w:fldChar w:fldCharType="separate"/>
      </w:r>
      <w:r>
        <w:rPr>
          <w:rFonts w:hint="default" w:ascii="Tahoma" w:hAnsi="Tahoma" w:eastAsia="Tahoma"/>
          <w:color w:val="auto"/>
          <w:position w:val="0"/>
          <w:sz w:val="22"/>
          <w:szCs w:val="22"/>
        </w:rPr>
        <w:t>44</w:t>
      </w:r>
      <w:r>
        <w:rPr>
          <w:rFonts w:hint="default" w:ascii="Tahoma" w:hAnsi="Tahoma" w:eastAsia="Tahoma"/>
          <w:color w:val="auto"/>
          <w:position w:val="0"/>
          <w:sz w:val="22"/>
          <w:szCs w:val="22"/>
        </w:rPr>
        <w:fldChar w:fldCharType="end"/>
      </w:r>
      <w:r>
        <w:rPr>
          <w:rFonts w:hint="default" w:ascii="Tahoma" w:hAnsi="Tahoma" w:eastAsia="Tahoma"/>
          <w:color w:val="auto"/>
          <w:position w:val="0"/>
          <w:sz w:val="22"/>
          <w:szCs w:val="22"/>
        </w:rPr>
        <w:fldChar w:fldCharType="end"/>
      </w: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r>
        <w:rPr>
          <w:rFonts w:hint="default" w:ascii="Tahoma" w:hAnsi="Tahoma" w:eastAsia="Tahoma"/>
          <w:color w:val="auto"/>
          <w:position w:val="0"/>
          <w:sz w:val="22"/>
          <w:szCs w:val="22"/>
        </w:rPr>
        <w:fldChar w:fldCharType="end"/>
      </w: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bookmarkStart w:id="0" w:name="_Toc504125538"/>
      <w:r>
        <w:rPr>
          <w:rFonts w:hint="default" w:ascii="宋体" w:hAnsi="Times New Roman" w:eastAsia="Times New Roman"/>
          <w:b/>
          <w:color w:val="auto"/>
          <w:position w:val="0"/>
          <w:sz w:val="28"/>
          <w:szCs w:val="28"/>
        </w:rPr>
        <w:t>第一章  谈判公告</w:t>
      </w:r>
      <w:bookmarkEnd w:id="0"/>
    </w:p>
    <w:p>
      <w:pPr>
        <w:numPr>
          <w:ilvl w:val="0"/>
          <w:numId w:val="0"/>
        </w:numPr>
        <w:autoSpaceDE/>
        <w:autoSpaceDN/>
        <w:snapToGrid w:val="0"/>
        <w:spacing w:before="0" w:after="200" w:line="220" w:lineRule="atLeast"/>
        <w:ind w:right="0" w:firstLine="0"/>
        <w:jc w:val="center"/>
        <w:rPr>
          <w:rFonts w:hint="default" w:ascii="微软雅黑" w:hAnsi="Times New Roman" w:eastAsia="Times New Roman"/>
          <w:color w:val="auto"/>
          <w:position w:val="0"/>
          <w:sz w:val="32"/>
          <w:szCs w:val="32"/>
        </w:rPr>
      </w:pPr>
      <w:r>
        <w:rPr>
          <w:rFonts w:hint="default" w:ascii="微软雅黑" w:hAnsi="Tahoma" w:eastAsia="Tahoma"/>
          <w:b/>
          <w:color w:val="auto"/>
          <w:position w:val="0"/>
          <w:sz w:val="32"/>
          <w:szCs w:val="32"/>
        </w:rPr>
        <w:t>小楼门星级厕所改建工程</w:t>
      </w:r>
    </w:p>
    <w:p>
      <w:pPr>
        <w:numPr>
          <w:ilvl w:val="0"/>
          <w:numId w:val="0"/>
        </w:numPr>
        <w:autoSpaceDE/>
        <w:autoSpaceDN/>
        <w:snapToGrid w:val="0"/>
        <w:spacing w:before="0" w:after="200" w:line="220" w:lineRule="atLeast"/>
        <w:ind w:right="0" w:firstLine="0"/>
        <w:jc w:val="center"/>
        <w:rPr>
          <w:rFonts w:hint="default" w:ascii="宋体" w:hAnsi="Angsana New" w:eastAsia="Angsana New"/>
          <w:b/>
          <w:color w:val="auto"/>
          <w:position w:val="0"/>
          <w:sz w:val="28"/>
          <w:szCs w:val="28"/>
        </w:rPr>
      </w:pPr>
      <w:r>
        <w:rPr>
          <w:rFonts w:hint="default" w:ascii="微软雅黑" w:hAnsi="Tahoma" w:eastAsia="Tahoma"/>
          <w:color w:val="auto"/>
          <w:position w:val="0"/>
          <w:sz w:val="32"/>
          <w:szCs w:val="32"/>
        </w:rPr>
        <w:t>竞争性谈判公告</w:t>
      </w:r>
    </w:p>
    <w:p>
      <w:pPr>
        <w:numPr>
          <w:ilvl w:val="0"/>
          <w:numId w:val="0"/>
        </w:numPr>
        <w:autoSpaceDE/>
        <w:autoSpaceDN/>
        <w:snapToGrid w:val="0"/>
        <w:spacing w:before="0" w:after="0" w:line="360" w:lineRule="auto"/>
        <w:ind w:right="0" w:firstLine="600"/>
        <w:jc w:val="both"/>
        <w:rPr>
          <w:rFonts w:hint="default" w:ascii="仿宋" w:hAnsi="Times New Roman" w:eastAsia="Times New Roman"/>
          <w:color w:val="auto"/>
          <w:position w:val="0"/>
          <w:sz w:val="24"/>
          <w:szCs w:val="24"/>
          <w:u w:val="single"/>
        </w:rPr>
      </w:pPr>
    </w:p>
    <w:p>
      <w:pPr>
        <w:pageBreakBefore w:val="0"/>
        <w:numPr>
          <w:ilvl w:val="0"/>
          <w:numId w:val="0"/>
        </w:numPr>
        <w:shd w:val="clear" w:color="000000" w:fill="FFFFFF"/>
        <w:autoSpaceDE/>
        <w:autoSpaceDN/>
        <w:bidi w:val="0"/>
        <w:snapToGrid/>
        <w:spacing w:before="0" w:after="0" w:line="240" w:lineRule="auto"/>
        <w:ind w:right="0" w:firstLine="0"/>
        <w:jc w:val="left"/>
        <w:rPr>
          <w:rFonts w:hint="default" w:ascii="仿宋" w:hAnsi="仿宋" w:eastAsia="仿宋"/>
          <w:smallCaps w:val="0"/>
          <w:color w:val="auto"/>
          <w:spacing w:val="0"/>
          <w:position w:val="0"/>
          <w:sz w:val="24"/>
          <w:szCs w:val="24"/>
        </w:rPr>
      </w:pPr>
      <w:r>
        <w:rPr>
          <w:rFonts w:hint="default" w:ascii="仿宋" w:hAnsi="仿宋" w:eastAsia="仿宋"/>
          <w:b w:val="0"/>
          <w:smallCaps w:val="0"/>
          <w:color w:val="auto"/>
          <w:spacing w:val="0"/>
          <w:position w:val="0"/>
          <w:sz w:val="24"/>
          <w:szCs w:val="24"/>
        </w:rPr>
        <w:t xml:space="preserve">     恩施大峡谷旅游开发有限公司拟对恩施大峡谷七星寨景区小楼门星级厕所改建工因前次采购失败，现重新进行采购，欢迎符合条件的施工单位前来投标</w:t>
      </w:r>
      <w:r>
        <w:rPr>
          <w:rFonts w:hint="default" w:ascii="仿宋" w:hAnsi="仿宋" w:eastAsia="仿宋"/>
          <w:smallCaps w:val="0"/>
          <w:color w:val="auto"/>
          <w:spacing w:val="0"/>
          <w:position w:val="0"/>
          <w:sz w:val="24"/>
          <w:szCs w:val="24"/>
        </w:rPr>
        <w:t>。</w:t>
      </w:r>
    </w:p>
    <w:p>
      <w:pPr>
        <w:numPr>
          <w:ilvl w:val="0"/>
          <w:numId w:val="0"/>
        </w:numPr>
        <w:autoSpaceDE/>
        <w:autoSpaceDN/>
        <w:snapToGrid w:val="0"/>
        <w:spacing w:before="0" w:after="0" w:line="360" w:lineRule="auto"/>
        <w:ind w:right="0" w:firstLine="60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1、项目名称：小楼门星级厕所改建工程（二次）。</w:t>
      </w:r>
    </w:p>
    <w:p>
      <w:pPr>
        <w:numPr>
          <w:ilvl w:val="0"/>
          <w:numId w:val="0"/>
        </w:numPr>
        <w:autoSpaceDE/>
        <w:autoSpaceDN/>
        <w:snapToGrid w:val="0"/>
        <w:spacing w:before="0" w:after="0" w:line="360" w:lineRule="auto"/>
        <w:ind w:right="0" w:firstLine="600"/>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2、项目概况：本工程位于恩施大峡谷七星寨景区小楼门（详见工程量清单）。</w:t>
      </w:r>
    </w:p>
    <w:p>
      <w:pPr>
        <w:numPr>
          <w:ilvl w:val="0"/>
          <w:numId w:val="0"/>
        </w:numPr>
        <w:autoSpaceDE/>
        <w:autoSpaceDN/>
        <w:snapToGrid w:val="0"/>
        <w:spacing w:before="0" w:after="0" w:line="360" w:lineRule="auto"/>
        <w:ind w:right="0" w:firstLine="60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3、采购编号：ESDXG-WX2018006。</w:t>
      </w:r>
    </w:p>
    <w:p>
      <w:pPr>
        <w:numPr>
          <w:ilvl w:val="0"/>
          <w:numId w:val="0"/>
        </w:numPr>
        <w:autoSpaceDE/>
        <w:autoSpaceDN/>
        <w:snapToGrid w:val="0"/>
        <w:spacing w:before="0" w:after="0" w:line="360" w:lineRule="auto"/>
        <w:ind w:right="0" w:firstLine="60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4、采购方式：竞争性谈判。 </w:t>
      </w:r>
    </w:p>
    <w:p>
      <w:pPr>
        <w:numPr>
          <w:ilvl w:val="0"/>
          <w:numId w:val="0"/>
        </w:numPr>
        <w:autoSpaceDE/>
        <w:autoSpaceDN/>
        <w:snapToGrid w:val="0"/>
        <w:spacing w:before="0" w:after="0" w:line="360" w:lineRule="auto"/>
        <w:ind w:right="0" w:firstLine="60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5、采购内容及投标限价： </w:t>
      </w:r>
    </w:p>
    <w:p>
      <w:pPr>
        <w:numPr>
          <w:ilvl w:val="0"/>
          <w:numId w:val="0"/>
        </w:numPr>
        <w:autoSpaceDE/>
        <w:autoSpaceDN/>
        <w:snapToGrid w:val="0"/>
        <w:spacing w:before="0" w:after="0" w:line="360" w:lineRule="auto"/>
        <w:ind w:right="0" w:firstLine="660"/>
        <w:jc w:val="both"/>
        <w:rPr>
          <w:rFonts w:hint="default" w:ascii="仿宋" w:hAnsi="Times New Roman" w:eastAsia="Times New Roman"/>
          <w:color w:val="auto"/>
          <w:position w:val="0"/>
          <w:sz w:val="24"/>
          <w:szCs w:val="24"/>
        </w:rPr>
      </w:pPr>
      <w:r>
        <w:rPr>
          <w:rFonts w:hint="default" w:ascii="仿宋" w:hAnsi="仿宋" w:eastAsia="仿宋"/>
          <w:color w:val="auto"/>
          <w:position w:val="0"/>
          <w:sz w:val="22"/>
          <w:szCs w:val="22"/>
        </w:rPr>
        <w:t>5.1采购内容：</w:t>
      </w:r>
      <w:r>
        <w:rPr>
          <w:rFonts w:hint="default" w:ascii="仿宋" w:hAnsi="仿宋" w:eastAsia="仿宋"/>
          <w:color w:val="auto"/>
          <w:position w:val="0"/>
          <w:sz w:val="24"/>
          <w:szCs w:val="24"/>
        </w:rPr>
        <w:t>小楼门星级厕所改建工程施工承包服务。</w:t>
      </w:r>
    </w:p>
    <w:p>
      <w:pPr>
        <w:numPr>
          <w:ilvl w:val="0"/>
          <w:numId w:val="0"/>
        </w:numPr>
        <w:autoSpaceDE/>
        <w:autoSpaceDN/>
        <w:snapToGrid w:val="0"/>
        <w:spacing w:before="0" w:after="0" w:line="360" w:lineRule="auto"/>
        <w:ind w:right="0" w:firstLine="602"/>
        <w:jc w:val="both"/>
        <w:rPr>
          <w:rFonts w:hint="default" w:ascii="仿宋" w:hAnsi="仿宋" w:eastAsia="仿宋"/>
          <w:b/>
          <w:color w:val="FF0000"/>
          <w:position w:val="0"/>
          <w:sz w:val="24"/>
          <w:szCs w:val="24"/>
        </w:rPr>
      </w:pPr>
      <w:r>
        <w:rPr>
          <w:rFonts w:hint="default" w:ascii="仿宋" w:hAnsi="仿宋" w:eastAsia="仿宋"/>
          <w:b/>
          <w:color w:val="auto"/>
          <w:position w:val="0"/>
          <w:sz w:val="24"/>
          <w:szCs w:val="24"/>
        </w:rPr>
        <w:t>5.2投标限价：</w:t>
      </w:r>
      <w:r>
        <w:rPr>
          <w:rFonts w:hint="default" w:ascii="仿宋" w:hAnsi="仿宋" w:eastAsia="仿宋"/>
          <w:b/>
          <w:color w:val="FF0000"/>
          <w:position w:val="0"/>
          <w:sz w:val="24"/>
          <w:szCs w:val="24"/>
        </w:rPr>
        <w:t xml:space="preserve">伍拾陆万零柒佰贰拾贰元玖角肆分（￥560722.94元）（最高限价）。 </w:t>
      </w:r>
    </w:p>
    <w:p>
      <w:pPr>
        <w:numPr>
          <w:ilvl w:val="0"/>
          <w:numId w:val="0"/>
        </w:numPr>
        <w:autoSpaceDE/>
        <w:autoSpaceDN/>
        <w:snapToGrid w:val="0"/>
        <w:spacing w:before="0" w:after="0" w:line="360" w:lineRule="auto"/>
        <w:ind w:right="0" w:firstLine="60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6、计划工期：</w:t>
      </w:r>
      <w:r>
        <w:rPr>
          <w:rFonts w:hint="default" w:ascii="仿宋" w:hAnsi="仿宋" w:eastAsia="仿宋"/>
          <w:color w:val="FF0000"/>
          <w:position w:val="0"/>
          <w:sz w:val="24"/>
          <w:szCs w:val="24"/>
        </w:rPr>
        <w:t>70日历天</w:t>
      </w:r>
    </w:p>
    <w:p>
      <w:pPr>
        <w:numPr>
          <w:ilvl w:val="0"/>
          <w:numId w:val="0"/>
        </w:numPr>
        <w:autoSpaceDE/>
        <w:autoSpaceDN/>
        <w:snapToGrid w:val="0"/>
        <w:spacing w:before="0" w:after="0" w:line="360" w:lineRule="auto"/>
        <w:ind w:right="0" w:firstLine="60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7、投标人资格条件 </w:t>
      </w:r>
    </w:p>
    <w:p>
      <w:pPr>
        <w:numPr>
          <w:ilvl w:val="0"/>
          <w:numId w:val="0"/>
        </w:numPr>
        <w:autoSpaceDE/>
        <w:autoSpaceDN/>
        <w:snapToGrid w:val="0"/>
        <w:spacing w:before="0" w:after="0" w:line="360" w:lineRule="auto"/>
        <w:ind w:right="0" w:firstLine="60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7.1本次谈判要求投标人同时具备以下条件: </w:t>
      </w:r>
    </w:p>
    <w:p>
      <w:pPr>
        <w:numPr>
          <w:ilvl w:val="0"/>
          <w:numId w:val="0"/>
        </w:numPr>
        <w:autoSpaceDE/>
        <w:autoSpaceDN/>
        <w:snapToGrid w:val="0"/>
        <w:spacing w:before="0" w:after="0" w:line="360" w:lineRule="auto"/>
        <w:ind w:right="0" w:firstLine="60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（1）符合《政府采购法》第二十二条规定的投标人资格条件； </w:t>
      </w:r>
    </w:p>
    <w:p>
      <w:pPr>
        <w:numPr>
          <w:ilvl w:val="0"/>
          <w:numId w:val="0"/>
        </w:numPr>
        <w:autoSpaceDE/>
        <w:autoSpaceDN/>
        <w:snapToGrid w:val="0"/>
        <w:spacing w:before="0" w:after="0" w:line="360" w:lineRule="auto"/>
        <w:ind w:right="0" w:firstLine="602"/>
        <w:jc w:val="both"/>
        <w:rPr>
          <w:rFonts w:hint="default" w:ascii="仿宋" w:hAnsi="仿宋" w:eastAsia="仿宋"/>
          <w:color w:val="auto"/>
          <w:position w:val="0"/>
          <w:sz w:val="24"/>
          <w:szCs w:val="24"/>
        </w:rPr>
      </w:pPr>
      <w:r>
        <w:rPr>
          <w:rFonts w:hint="default" w:ascii="仿宋" w:hAnsi="仿宋" w:eastAsia="仿宋"/>
          <w:b/>
          <w:color w:val="auto"/>
          <w:position w:val="0"/>
          <w:sz w:val="24"/>
          <w:szCs w:val="24"/>
        </w:rPr>
        <w:t>（2）具有建设行政主管部门核发的房屋建筑工程总承包三级及以上资质，并在人员、设备、资金等方面具有相应的施工能力；</w:t>
      </w:r>
    </w:p>
    <w:p>
      <w:pPr>
        <w:numPr>
          <w:ilvl w:val="0"/>
          <w:numId w:val="0"/>
        </w:numPr>
        <w:autoSpaceDE/>
        <w:autoSpaceDN/>
        <w:snapToGrid w:val="0"/>
        <w:spacing w:before="0" w:after="0" w:line="360" w:lineRule="auto"/>
        <w:ind w:right="0" w:firstLine="602"/>
        <w:jc w:val="both"/>
        <w:rPr>
          <w:rFonts w:hint="default" w:ascii="仿宋" w:hAnsi="仿宋" w:eastAsia="仿宋"/>
          <w:color w:val="auto"/>
          <w:position w:val="0"/>
          <w:sz w:val="24"/>
          <w:szCs w:val="24"/>
        </w:rPr>
      </w:pPr>
      <w:r>
        <w:rPr>
          <w:rFonts w:hint="default" w:ascii="仿宋" w:hAnsi="仿宋" w:eastAsia="仿宋"/>
          <w:b/>
          <w:color w:val="auto"/>
          <w:position w:val="0"/>
          <w:sz w:val="24"/>
          <w:szCs w:val="24"/>
        </w:rPr>
        <w:t>（3）近三年内（投标截止日前推36个月）至今独立承担过至少一项类似工程施工项目（新建或维修项目亦可）；</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（4）项目负责人应具备房屋建筑工程二级建造师及以上资格证书，且为本单位人员；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（5）投标人提供近三年（2015年、2016年、2017年，企业成立不足三年的根据实际情况提供）经会计师事务所或审计机构审计的财务会计报表，并未发生亏损；</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6）投标人及其法定代表人和拟派的项目负责人近三年内无犯罪记录（自法院判决生效之日起至本次采购谈判公告发布之日止三年内，要求在开标时提供《检查机关行贿犯罪档案查询结果告知函》原件，并在谈判响应文件其它资料中提供复印件）； </w:t>
      </w:r>
    </w:p>
    <w:p>
      <w:pPr>
        <w:numPr>
          <w:ilvl w:val="0"/>
          <w:numId w:val="0"/>
        </w:numPr>
        <w:autoSpaceDE/>
        <w:autoSpaceDN/>
        <w:snapToGrid w:val="0"/>
        <w:spacing w:before="0" w:after="0" w:line="360" w:lineRule="auto"/>
        <w:ind w:right="0" w:firstLine="60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（7）投标人在参加投标活动前三年内，在经营活动中没有重大违法记录（提供书面声明）；没有不良行为记录（提供全国建筑市场监管公共服务平台查询记录截图和信用中国查询截图）；</w:t>
      </w:r>
    </w:p>
    <w:p>
      <w:pPr>
        <w:numPr>
          <w:ilvl w:val="0"/>
          <w:numId w:val="0"/>
        </w:numPr>
        <w:autoSpaceDE/>
        <w:autoSpaceDN/>
        <w:snapToGrid w:val="0"/>
        <w:spacing w:before="0" w:after="0" w:line="360" w:lineRule="auto"/>
        <w:ind w:right="0" w:firstLine="480"/>
        <w:jc w:val="left"/>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8）根据《关于落实&lt;恩施州建设领域劳动者工资支付保障实施方法&gt;相关规定的意见》的补充通知（恩施州人社函[2017]35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pPr>
        <w:numPr>
          <w:ilvl w:val="0"/>
          <w:numId w:val="0"/>
        </w:numPr>
        <w:autoSpaceDE/>
        <w:autoSpaceDN/>
        <w:snapToGrid w:val="0"/>
        <w:spacing w:before="0" w:after="0" w:line="360" w:lineRule="auto"/>
        <w:ind w:right="0" w:firstLine="566"/>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7.2本次谈判不接受联合体投标。 </w:t>
      </w:r>
    </w:p>
    <w:p>
      <w:pPr>
        <w:numPr>
          <w:ilvl w:val="0"/>
          <w:numId w:val="0"/>
        </w:numPr>
        <w:autoSpaceDE/>
        <w:autoSpaceDN/>
        <w:snapToGrid w:val="0"/>
        <w:spacing w:before="0" w:after="0" w:line="360" w:lineRule="auto"/>
        <w:ind w:right="0" w:firstLine="566"/>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8、资格预审及报名方式</w:t>
      </w:r>
    </w:p>
    <w:p>
      <w:pPr>
        <w:numPr>
          <w:ilvl w:val="0"/>
          <w:numId w:val="0"/>
        </w:numPr>
        <w:autoSpaceDE/>
        <w:autoSpaceDN/>
        <w:snapToGrid w:val="0"/>
        <w:spacing w:before="0" w:after="0" w:line="360" w:lineRule="auto"/>
        <w:ind w:right="0" w:firstLine="566"/>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8.1资格预审须携带以下资料</w:t>
      </w:r>
    </w:p>
    <w:p>
      <w:pPr>
        <w:numPr>
          <w:ilvl w:val="0"/>
          <w:numId w:val="0"/>
        </w:numPr>
        <w:autoSpaceDE/>
        <w:autoSpaceDN/>
        <w:snapToGrid w:val="0"/>
        <w:spacing w:before="0" w:after="0" w:line="360" w:lineRule="auto"/>
        <w:ind w:right="0" w:firstLine="806"/>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（1）满足第7.1条中规定的加盖企业公章鲜章的企业资质证书和营业执照复印件（开标时提供原件）；</w:t>
      </w:r>
    </w:p>
    <w:p>
      <w:pPr>
        <w:numPr>
          <w:ilvl w:val="0"/>
          <w:numId w:val="0"/>
        </w:numPr>
        <w:autoSpaceDE/>
        <w:autoSpaceDN/>
        <w:snapToGrid w:val="0"/>
        <w:spacing w:before="0" w:after="0" w:line="360" w:lineRule="auto"/>
        <w:ind w:right="0" w:firstLine="806"/>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（2）项目负责人房屋建筑工程二级建造师及以上资格注册证书及安全考核合格证书B证复印件（开标时提供原件。项目负责人必须是本单位注册人员）；</w:t>
      </w:r>
    </w:p>
    <w:p>
      <w:pPr>
        <w:numPr>
          <w:ilvl w:val="0"/>
          <w:numId w:val="0"/>
        </w:numPr>
        <w:autoSpaceDE/>
        <w:autoSpaceDN/>
        <w:snapToGrid w:val="0"/>
        <w:spacing w:before="0" w:after="0" w:line="360" w:lineRule="auto"/>
        <w:ind w:right="0" w:firstLine="806"/>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（3）法定代表人授权委托书。</w:t>
      </w:r>
    </w:p>
    <w:p>
      <w:pPr>
        <w:numPr>
          <w:ilvl w:val="0"/>
          <w:numId w:val="0"/>
        </w:numPr>
        <w:autoSpaceDE/>
        <w:autoSpaceDN/>
        <w:snapToGrid w:val="0"/>
        <w:spacing w:before="0" w:after="0" w:line="360" w:lineRule="auto"/>
        <w:ind w:right="0" w:firstLine="465"/>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8.2报名方式</w:t>
      </w:r>
    </w:p>
    <w:p>
      <w:pPr>
        <w:numPr>
          <w:ilvl w:val="0"/>
          <w:numId w:val="0"/>
        </w:numPr>
        <w:autoSpaceDE/>
        <w:autoSpaceDN/>
        <w:snapToGrid w:val="0"/>
        <w:spacing w:before="0" w:after="0" w:line="360" w:lineRule="auto"/>
        <w:ind w:right="0" w:firstLine="465"/>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意向投标人携带第7.1条规定的资料到采购人指定的报名地点领取《投标单位报名表》登记报名并接受资格预审（未报名的投标无效）。</w:t>
      </w:r>
    </w:p>
    <w:p>
      <w:pPr>
        <w:numPr>
          <w:ilvl w:val="0"/>
          <w:numId w:val="0"/>
        </w:numPr>
        <w:autoSpaceDE/>
        <w:autoSpaceDN/>
        <w:snapToGrid w:val="0"/>
        <w:spacing w:before="0" w:after="0" w:line="360" w:lineRule="auto"/>
        <w:ind w:right="0" w:firstLine="465"/>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9、报名截止时间</w:t>
      </w:r>
    </w:p>
    <w:p>
      <w:pPr>
        <w:numPr>
          <w:ilvl w:val="0"/>
          <w:numId w:val="0"/>
        </w:numPr>
        <w:autoSpaceDE/>
        <w:autoSpaceDN/>
        <w:snapToGrid w:val="0"/>
        <w:spacing w:before="0" w:after="0" w:line="360" w:lineRule="auto"/>
        <w:ind w:right="0" w:firstLine="465"/>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报名截止时间：</w:t>
      </w:r>
      <w:r>
        <w:rPr>
          <w:rFonts w:hint="default" w:ascii="仿宋" w:hAnsi="仿宋" w:eastAsia="仿宋"/>
          <w:b/>
          <w:color w:val="FF0000"/>
          <w:position w:val="0"/>
          <w:sz w:val="24"/>
          <w:szCs w:val="24"/>
        </w:rPr>
        <w:t>2018年06月24日17时00分</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10、谈判文件获取方式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10.1谈判文件及招标工程量清单获取方式：网上下载；</w:t>
      </w:r>
    </w:p>
    <w:p>
      <w:pPr>
        <w:numPr>
          <w:ilvl w:val="0"/>
          <w:numId w:val="0"/>
        </w:numPr>
        <w:autoSpaceDE/>
        <w:autoSpaceDN/>
        <w:snapToGrid w:val="0"/>
        <w:spacing w:before="0" w:after="0" w:line="360" w:lineRule="auto"/>
        <w:ind w:left="560" w:right="0" w:hanging="12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10.2 施工图获取方式：投标人报名时提供电子邮箱，由发包人发于该邮箱。</w:t>
      </w:r>
    </w:p>
    <w:p>
      <w:pPr>
        <w:numPr>
          <w:ilvl w:val="0"/>
          <w:numId w:val="0"/>
        </w:numPr>
        <w:autoSpaceDE/>
        <w:autoSpaceDN/>
        <w:snapToGrid w:val="0"/>
        <w:spacing w:before="0" w:after="0" w:line="360" w:lineRule="auto"/>
        <w:ind w:left="560" w:right="0" w:hanging="12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11、投标截止时间、开标时间和地点： </w:t>
      </w:r>
    </w:p>
    <w:p>
      <w:pPr>
        <w:numPr>
          <w:ilvl w:val="0"/>
          <w:numId w:val="0"/>
        </w:numPr>
        <w:autoSpaceDE/>
        <w:autoSpaceDN/>
        <w:snapToGrid w:val="0"/>
        <w:spacing w:before="0" w:after="0" w:line="360" w:lineRule="auto"/>
        <w:ind w:right="0" w:firstLine="0"/>
        <w:jc w:val="both"/>
        <w:rPr>
          <w:rFonts w:hint="default" w:ascii="仿宋" w:hAnsi="仿宋" w:eastAsia="仿宋"/>
          <w:color w:val="FF0000"/>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投标截止时间及开标时间：</w:t>
      </w:r>
      <w:r>
        <w:rPr>
          <w:rFonts w:hint="default" w:ascii="仿宋" w:hAnsi="仿宋" w:eastAsia="仿宋"/>
          <w:b/>
          <w:color w:val="FF0000"/>
          <w:position w:val="0"/>
          <w:sz w:val="24"/>
          <w:szCs w:val="24"/>
        </w:rPr>
        <w:t>2018年06月27日14时30分</w:t>
      </w:r>
      <w:r>
        <w:rPr>
          <w:rFonts w:hint="default" w:ascii="仿宋" w:hAnsi="仿宋" w:eastAsia="仿宋"/>
          <w:color w:val="FF0000"/>
          <w:position w:val="0"/>
          <w:sz w:val="24"/>
          <w:szCs w:val="24"/>
        </w:rPr>
        <w:t>；</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投标报名地点、响应文件递交地点及开标地点：湖北省恩施市大峡谷风景区管理处大峡谷旅游开发有限公司维修保障部。</w:t>
      </w: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12、联系方式： </w:t>
      </w: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采购人：恩施大峡谷旅游开发有限公司 </w:t>
      </w: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联系人：李女士   联系电话： 0718-8788682</w:t>
      </w: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auto"/>
          <w:position w:val="0"/>
          <w:sz w:val="32"/>
          <w:szCs w:val="32"/>
        </w:rPr>
      </w:pPr>
    </w:p>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auto"/>
          <w:position w:val="0"/>
          <w:sz w:val="32"/>
          <w:szCs w:val="32"/>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bookmarkStart w:id="1" w:name="_Toc504125539"/>
      <w:r>
        <w:rPr>
          <w:rFonts w:hint="default" w:ascii="宋体" w:hAnsi="Times New Roman" w:eastAsia="Times New Roman"/>
          <w:b/>
          <w:color w:val="auto"/>
          <w:position w:val="0"/>
          <w:sz w:val="28"/>
          <w:szCs w:val="28"/>
        </w:rPr>
        <w:t>第二章 投标人须知</w:t>
      </w:r>
      <w:bookmarkEnd w:id="1"/>
    </w:p>
    <w:p>
      <w:pPr>
        <w:numPr>
          <w:ilvl w:val="0"/>
          <w:numId w:val="0"/>
        </w:numPr>
        <w:autoSpaceDE/>
        <w:autoSpaceDN/>
        <w:snapToGrid w:val="0"/>
        <w:spacing w:before="0" w:after="200" w:line="500" w:lineRule="exact"/>
        <w:ind w:right="0" w:firstLine="0"/>
        <w:jc w:val="center"/>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投标人须知前附表</w:t>
      </w:r>
    </w:p>
    <w:tbl>
      <w:tblPr>
        <w:tblStyle w:val="31"/>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5"/>
        <w:gridCol w:w="7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numPr>
                <w:ilvl w:val="0"/>
                <w:numId w:val="0"/>
              </w:numPr>
              <w:autoSpaceDE/>
              <w:autoSpaceDN/>
              <w:snapToGrid w:val="0"/>
              <w:spacing w:before="0" w:after="200" w:line="400" w:lineRule="exact"/>
              <w:ind w:right="0" w:firstLine="0"/>
              <w:jc w:val="center"/>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项号</w:t>
            </w:r>
          </w:p>
        </w:tc>
        <w:tc>
          <w:tcPr>
            <w:tcW w:w="7837" w:type="dxa"/>
            <w:tcBorders>
              <w:top w:val="single" w:color="auto" w:sz="12" w:space="0"/>
              <w:right w:val="single" w:color="auto" w:sz="12" w:space="0"/>
            </w:tcBorders>
            <w:vAlign w:val="center"/>
          </w:tcPr>
          <w:p>
            <w:pPr>
              <w:numPr>
                <w:ilvl w:val="0"/>
                <w:numId w:val="0"/>
              </w:numPr>
              <w:autoSpaceDE/>
              <w:autoSpaceDN/>
              <w:snapToGrid w:val="0"/>
              <w:spacing w:before="0" w:after="200" w:line="400" w:lineRule="exact"/>
              <w:ind w:right="0" w:firstLine="0"/>
              <w:jc w:val="center"/>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内  容  规  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w:t>
            </w:r>
          </w:p>
        </w:tc>
        <w:tc>
          <w:tcPr>
            <w:tcW w:w="7837" w:type="dxa"/>
            <w:tcBorders>
              <w:right w:val="single" w:color="auto" w:sz="12" w:space="0"/>
            </w:tcBorders>
            <w:vAlign w:val="top"/>
          </w:tcPr>
          <w:p>
            <w:pPr>
              <w:numPr>
                <w:ilvl w:val="0"/>
                <w:numId w:val="0"/>
              </w:numPr>
              <w:autoSpaceDE/>
              <w:autoSpaceDN/>
              <w:snapToGrid w:val="0"/>
              <w:spacing w:before="0" w:after="0" w:line="400" w:lineRule="exact"/>
              <w:ind w:right="0" w:firstLine="0"/>
              <w:jc w:val="both"/>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工程名称：</w:t>
            </w:r>
            <w:r>
              <w:rPr>
                <w:rFonts w:hint="default" w:ascii="仿宋" w:hAnsi="仿宋" w:eastAsia="仿宋"/>
                <w:color w:val="auto"/>
                <w:position w:val="0"/>
                <w:sz w:val="24"/>
                <w:szCs w:val="24"/>
              </w:rPr>
              <w:t>小楼门星级厕所改建工程。</w:t>
            </w:r>
          </w:p>
          <w:p>
            <w:pPr>
              <w:numPr>
                <w:ilvl w:val="0"/>
                <w:numId w:val="0"/>
              </w:numPr>
              <w:autoSpaceDE/>
              <w:autoSpaceDN/>
              <w:snapToGrid w:val="0"/>
              <w:spacing w:before="0" w:after="0" w:line="400" w:lineRule="exact"/>
              <w:ind w:right="0" w:firstLine="0"/>
              <w:jc w:val="both"/>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建设地点：</w:t>
            </w:r>
            <w:r>
              <w:rPr>
                <w:rFonts w:hint="default" w:ascii="仿宋" w:hAnsi="仿宋" w:eastAsia="仿宋"/>
                <w:color w:val="auto"/>
                <w:position w:val="0"/>
                <w:sz w:val="24"/>
                <w:szCs w:val="24"/>
              </w:rPr>
              <w:t>恩施市大峡谷景区内</w:t>
            </w:r>
          </w:p>
          <w:p>
            <w:pPr>
              <w:numPr>
                <w:ilvl w:val="0"/>
                <w:numId w:val="0"/>
              </w:numPr>
              <w:autoSpaceDE/>
              <w:autoSpaceDN/>
              <w:snapToGrid w:val="0"/>
              <w:spacing w:before="0" w:after="0" w:line="400" w:lineRule="exact"/>
              <w:ind w:right="0" w:firstLine="0"/>
              <w:jc w:val="both"/>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建设规模：</w:t>
            </w:r>
            <w:r>
              <w:rPr>
                <w:rFonts w:hint="default" w:ascii="仿宋" w:hAnsi="仿宋" w:eastAsia="仿宋"/>
                <w:color w:val="auto"/>
                <w:position w:val="0"/>
                <w:sz w:val="24"/>
                <w:szCs w:val="24"/>
              </w:rPr>
              <w:t>详见设计文件</w:t>
            </w:r>
          </w:p>
          <w:p>
            <w:pPr>
              <w:numPr>
                <w:ilvl w:val="0"/>
                <w:numId w:val="0"/>
              </w:numPr>
              <w:autoSpaceDE/>
              <w:autoSpaceDN/>
              <w:snapToGrid w:val="0"/>
              <w:spacing w:before="0" w:after="0" w:line="400" w:lineRule="exact"/>
              <w:ind w:right="0" w:firstLine="0"/>
              <w:jc w:val="both"/>
              <w:rPr>
                <w:rFonts w:hint="default" w:ascii="仿宋" w:hAnsi="Times New Roman" w:eastAsia="Times New Roman"/>
                <w:color w:val="FF0000"/>
                <w:position w:val="0"/>
                <w:sz w:val="24"/>
                <w:szCs w:val="24"/>
              </w:rPr>
            </w:pPr>
            <w:r>
              <w:rPr>
                <w:rFonts w:hint="default" w:ascii="仿宋" w:hAnsi="仿宋" w:eastAsia="仿宋"/>
                <w:b/>
                <w:color w:val="auto"/>
                <w:position w:val="0"/>
                <w:sz w:val="24"/>
                <w:szCs w:val="24"/>
              </w:rPr>
              <w:t>合同形式：</w:t>
            </w:r>
            <w:r>
              <w:rPr>
                <w:rFonts w:hint="default" w:ascii="仿宋" w:hAnsi="仿宋" w:eastAsia="仿宋"/>
                <w:color w:val="auto"/>
                <w:position w:val="0"/>
                <w:sz w:val="24"/>
                <w:szCs w:val="24"/>
              </w:rPr>
              <w:t xml:space="preserve">固定单价合同       </w:t>
            </w:r>
            <w:r>
              <w:rPr>
                <w:rFonts w:hint="default" w:ascii="仿宋" w:hAnsi="仿宋" w:eastAsia="仿宋"/>
                <w:color w:val="FF0000"/>
                <w:position w:val="0"/>
                <w:sz w:val="24"/>
                <w:szCs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2" w:hRule="atLeast"/>
        </w:trPr>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2</w:t>
            </w:r>
          </w:p>
        </w:tc>
        <w:tc>
          <w:tcPr>
            <w:tcW w:w="7837" w:type="dxa"/>
            <w:tcBorders>
              <w:right w:val="single" w:color="auto" w:sz="12" w:space="0"/>
            </w:tcBorders>
            <w:vAlign w:val="center"/>
          </w:tcPr>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r>
              <w:rPr>
                <w:rFonts w:hint="default" w:ascii="仿宋" w:hAnsi="仿宋" w:eastAsia="仿宋"/>
                <w:b/>
                <w:color w:val="auto"/>
                <w:position w:val="0"/>
                <w:sz w:val="24"/>
                <w:szCs w:val="24"/>
              </w:rPr>
              <w:t>采购人：</w:t>
            </w:r>
            <w:r>
              <w:rPr>
                <w:rFonts w:hint="default" w:ascii="仿宋" w:hAnsi="仿宋" w:eastAsia="仿宋"/>
                <w:color w:val="auto"/>
                <w:position w:val="0"/>
                <w:sz w:val="24"/>
                <w:szCs w:val="24"/>
              </w:rPr>
              <w:t xml:space="preserve">恩施大峡谷旅游开发有限公司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3</w:t>
            </w:r>
          </w:p>
        </w:tc>
        <w:tc>
          <w:tcPr>
            <w:tcW w:w="7837" w:type="dxa"/>
            <w:tcBorders>
              <w:right w:val="single" w:color="auto" w:sz="12" w:space="0"/>
            </w:tcBorders>
            <w:vAlign w:val="center"/>
          </w:tcPr>
          <w:p>
            <w:pPr>
              <w:numPr>
                <w:ilvl w:val="0"/>
                <w:numId w:val="0"/>
              </w:numPr>
              <w:autoSpaceDE/>
              <w:autoSpaceDN/>
              <w:snapToGrid w:val="0"/>
              <w:spacing w:before="0" w:after="0" w:line="400" w:lineRule="exact"/>
              <w:ind w:right="0" w:firstLine="0"/>
              <w:jc w:val="both"/>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工程质量要求：</w:t>
            </w:r>
            <w:r>
              <w:rPr>
                <w:rFonts w:hint="default" w:ascii="仿宋" w:hAnsi="仿宋" w:eastAsia="仿宋"/>
                <w:color w:val="auto"/>
                <w:position w:val="0"/>
                <w:sz w:val="24"/>
                <w:szCs w:val="24"/>
              </w:rPr>
              <w:t>按照国家相关验收规范要求，一次性验收合格。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4</w:t>
            </w:r>
          </w:p>
        </w:tc>
        <w:tc>
          <w:tcPr>
            <w:tcW w:w="7837" w:type="dxa"/>
            <w:tcBorders>
              <w:right w:val="single" w:color="auto" w:sz="12" w:space="0"/>
            </w:tcBorders>
            <w:vAlign w:val="center"/>
          </w:tcPr>
          <w:p>
            <w:pPr>
              <w:numPr>
                <w:ilvl w:val="0"/>
                <w:numId w:val="0"/>
              </w:numPr>
              <w:autoSpaceDE/>
              <w:autoSpaceDN/>
              <w:snapToGrid w:val="0"/>
              <w:spacing w:before="0" w:after="0" w:line="360" w:lineRule="auto"/>
              <w:ind w:right="0" w:firstLine="0"/>
              <w:jc w:val="both"/>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工期要求：</w:t>
            </w:r>
            <w:r>
              <w:rPr>
                <w:rFonts w:hint="default" w:ascii="仿宋" w:hAnsi="仿宋" w:eastAsia="仿宋"/>
                <w:color w:val="FF0000"/>
                <w:position w:val="0"/>
                <w:sz w:val="24"/>
                <w:szCs w:val="24"/>
                <w:u w:val="single"/>
              </w:rPr>
              <w:t>70</w:t>
            </w:r>
            <w:r>
              <w:rPr>
                <w:rFonts w:hint="default" w:ascii="仿宋" w:hAnsi="仿宋" w:eastAsia="仿宋"/>
                <w:color w:val="FF0000"/>
                <w:position w:val="0"/>
                <w:sz w:val="24"/>
                <w:szCs w:val="24"/>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5</w:t>
            </w:r>
          </w:p>
        </w:tc>
        <w:tc>
          <w:tcPr>
            <w:tcW w:w="7837" w:type="dxa"/>
            <w:tcBorders>
              <w:right w:val="single" w:color="auto" w:sz="12" w:space="0"/>
            </w:tcBorders>
            <w:vAlign w:val="top"/>
          </w:tcPr>
          <w:p>
            <w:pPr>
              <w:numPr>
                <w:ilvl w:val="0"/>
                <w:numId w:val="0"/>
              </w:numPr>
              <w:autoSpaceDE/>
              <w:autoSpaceDN/>
              <w:snapToGrid w:val="0"/>
              <w:spacing w:before="0" w:after="0" w:line="4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投标人资格条件：</w:t>
            </w:r>
            <w:r>
              <w:rPr>
                <w:rFonts w:hint="default" w:ascii="仿宋" w:hAnsi="仿宋" w:eastAsia="仿宋"/>
                <w:color w:val="auto"/>
                <w:position w:val="0"/>
                <w:sz w:val="24"/>
                <w:szCs w:val="24"/>
              </w:rPr>
              <w:t>详见谈判公告第7条。其中：“近三年至今独立承担过类似工程项目”，要求在开标会上提供合同原件，并在响应文件“商务文件”“证明投标人合格的资格文件”中提供合同复印件，不符合上述要求的，将视为资格审查不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6</w:t>
            </w:r>
          </w:p>
        </w:tc>
        <w:tc>
          <w:tcPr>
            <w:tcW w:w="7837" w:type="dxa"/>
            <w:tcBorders>
              <w:right w:val="single" w:color="auto" w:sz="12" w:space="0"/>
            </w:tcBorders>
            <w:vAlign w:val="top"/>
          </w:tcPr>
          <w:p>
            <w:pPr>
              <w:numPr>
                <w:ilvl w:val="0"/>
                <w:numId w:val="0"/>
              </w:numPr>
              <w:autoSpaceDE/>
              <w:autoSpaceDN/>
              <w:snapToGrid w:val="0"/>
              <w:spacing w:before="0" w:after="0" w:line="400" w:lineRule="exact"/>
              <w:ind w:right="0" w:firstLine="0"/>
              <w:jc w:val="left"/>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投标报价及费用：</w:t>
            </w:r>
          </w:p>
          <w:p>
            <w:pPr>
              <w:numPr>
                <w:ilvl w:val="0"/>
                <w:numId w:val="0"/>
              </w:numPr>
              <w:autoSpaceDE/>
              <w:autoSpaceDN/>
              <w:snapToGrid w:val="0"/>
              <w:spacing w:before="0" w:after="0" w:line="4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（1）本项目投标以人民币报价。</w:t>
            </w:r>
          </w:p>
          <w:p>
            <w:pPr>
              <w:numPr>
                <w:ilvl w:val="0"/>
                <w:numId w:val="0"/>
              </w:numPr>
              <w:autoSpaceDE/>
              <w:autoSpaceDN/>
              <w:snapToGrid w:val="0"/>
              <w:spacing w:before="0" w:after="0" w:line="4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（2）不论投标结果如何，投标人均应自行承担所有与投标有关的全部费用。</w:t>
            </w:r>
          </w:p>
          <w:p>
            <w:pPr>
              <w:numPr>
                <w:ilvl w:val="0"/>
                <w:numId w:val="0"/>
              </w:numPr>
              <w:autoSpaceDE/>
              <w:autoSpaceDN/>
              <w:snapToGrid w:val="0"/>
              <w:spacing w:before="0" w:after="0" w:line="4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（3）投标人应充分考虑项目实际情况，结合施工图自主报价。</w:t>
            </w:r>
          </w:p>
          <w:p>
            <w:pPr>
              <w:numPr>
                <w:ilvl w:val="0"/>
                <w:numId w:val="0"/>
              </w:numPr>
              <w:autoSpaceDE/>
              <w:autoSpaceDN/>
              <w:snapToGrid w:val="0"/>
              <w:spacing w:before="0" w:after="0" w:line="4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（4）投标报价中不得有明显的不平衡报价，签订合同前，中标人必须无条件接受招标人组织的清标工作。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7</w:t>
            </w:r>
          </w:p>
        </w:tc>
        <w:tc>
          <w:tcPr>
            <w:tcW w:w="7837" w:type="dxa"/>
            <w:tcBorders>
              <w:right w:val="single" w:color="auto" w:sz="12" w:space="0"/>
            </w:tcBorders>
            <w:vAlign w:val="top"/>
          </w:tcPr>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FF0000"/>
                <w:position w:val="0"/>
                <w:sz w:val="24"/>
                <w:szCs w:val="24"/>
              </w:rPr>
            </w:pPr>
            <w:r>
              <w:rPr>
                <w:rFonts w:hint="default" w:ascii="仿宋" w:hAnsi="仿宋" w:eastAsia="仿宋"/>
                <w:b/>
                <w:color w:val="FF0000"/>
                <w:position w:val="0"/>
                <w:sz w:val="24"/>
                <w:szCs w:val="24"/>
              </w:rPr>
              <w:t>伍拾陆万零柒佰贰拾贰元玖角肆分（￥560722.94元）（最高限价）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8</w:t>
            </w:r>
          </w:p>
        </w:tc>
        <w:tc>
          <w:tcPr>
            <w:tcW w:w="7837" w:type="dxa"/>
            <w:tcBorders>
              <w:right w:val="single" w:color="auto" w:sz="12" w:space="0"/>
            </w:tcBorders>
            <w:vAlign w:val="top"/>
          </w:tcPr>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现场踏勘：</w:t>
            </w:r>
            <w:r>
              <w:rPr>
                <w:rFonts w:hint="default" w:ascii="仿宋" w:hAnsi="仿宋" w:eastAsia="仿宋"/>
                <w:color w:val="auto"/>
                <w:position w:val="0"/>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pPr>
              <w:numPr>
                <w:ilvl w:val="0"/>
                <w:numId w:val="0"/>
              </w:numPr>
              <w:autoSpaceDE/>
              <w:autoSpaceDN/>
              <w:snapToGrid w:val="0"/>
              <w:spacing w:before="0" w:after="0" w:line="360" w:lineRule="auto"/>
              <w:ind w:right="0" w:firstLine="0"/>
              <w:jc w:val="left"/>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现场联系人：</w:t>
            </w:r>
            <w:r>
              <w:rPr>
                <w:rFonts w:hint="default" w:ascii="仿宋" w:hAnsi="仿宋" w:eastAsia="仿宋"/>
                <w:color w:val="auto"/>
                <w:position w:val="0"/>
                <w:sz w:val="24"/>
                <w:szCs w:val="24"/>
              </w:rPr>
              <w:t>苏经理    15671533767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9</w:t>
            </w:r>
          </w:p>
        </w:tc>
        <w:tc>
          <w:tcPr>
            <w:tcW w:w="7837" w:type="dxa"/>
            <w:tcBorders>
              <w:right w:val="single" w:color="auto" w:sz="12" w:space="0"/>
            </w:tcBorders>
            <w:vAlign w:val="top"/>
          </w:tcPr>
          <w:p>
            <w:pPr>
              <w:numPr>
                <w:ilvl w:val="0"/>
                <w:numId w:val="0"/>
              </w:numPr>
              <w:autoSpaceDE/>
              <w:autoSpaceDN/>
              <w:snapToGrid w:val="0"/>
              <w:spacing w:before="0" w:after="200" w:line="5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投标人提出疑问的截止时间：</w:t>
            </w:r>
            <w:r>
              <w:rPr>
                <w:rFonts w:hint="default" w:ascii="仿宋" w:hAnsi="仿宋" w:eastAsia="仿宋"/>
                <w:b/>
                <w:color w:val="FF0000"/>
                <w:position w:val="0"/>
                <w:sz w:val="24"/>
                <w:szCs w:val="24"/>
              </w:rPr>
              <w:t>2018年06月</w:t>
            </w:r>
            <w:r>
              <w:rPr>
                <w:rFonts w:hint="default" w:ascii="仿宋" w:hAnsi="Times New Roman" w:eastAsia="Times New Roman"/>
                <w:b/>
                <w:color w:val="FF0000"/>
                <w:position w:val="0"/>
                <w:sz w:val="24"/>
                <w:szCs w:val="24"/>
              </w:rPr>
              <w:t>24</w:t>
            </w:r>
            <w:r>
              <w:rPr>
                <w:rFonts w:hint="default" w:ascii="仿宋" w:hAnsi="仿宋" w:eastAsia="仿宋"/>
                <w:b/>
                <w:color w:val="FF0000"/>
                <w:position w:val="0"/>
                <w:sz w:val="24"/>
                <w:szCs w:val="24"/>
              </w:rPr>
              <w:t>日17时00分。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10</w:t>
            </w:r>
          </w:p>
        </w:tc>
        <w:tc>
          <w:tcPr>
            <w:tcW w:w="7837" w:type="dxa"/>
            <w:tcBorders>
              <w:right w:val="single" w:color="auto" w:sz="12" w:space="0"/>
            </w:tcBorders>
            <w:vAlign w:val="top"/>
          </w:tcPr>
          <w:p>
            <w:pPr>
              <w:numPr>
                <w:ilvl w:val="0"/>
                <w:numId w:val="0"/>
              </w:numPr>
              <w:autoSpaceDE/>
              <w:autoSpaceDN/>
              <w:snapToGrid w:val="0"/>
              <w:spacing w:before="0" w:after="200" w:line="5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谈判文件的补充、修改、澄清的截止时间：</w:t>
            </w:r>
            <w:r>
              <w:rPr>
                <w:rFonts w:hint="default" w:ascii="仿宋" w:hAnsi="仿宋" w:eastAsia="仿宋"/>
                <w:b/>
                <w:color w:val="FF0000"/>
                <w:position w:val="0"/>
                <w:sz w:val="24"/>
                <w:szCs w:val="24"/>
              </w:rPr>
              <w:t>2018年06月24日17时00分</w:t>
            </w:r>
            <w:r>
              <w:rPr>
                <w:rFonts w:hint="default" w:ascii="仿宋" w:hAnsi="仿宋" w:eastAsia="仿宋"/>
                <w:b/>
                <w:color w:val="auto"/>
                <w:positio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11</w:t>
            </w:r>
          </w:p>
        </w:tc>
        <w:tc>
          <w:tcPr>
            <w:tcW w:w="7837" w:type="dxa"/>
            <w:tcBorders>
              <w:right w:val="single" w:color="auto" w:sz="12" w:space="0"/>
            </w:tcBorders>
            <w:vAlign w:val="top"/>
          </w:tcPr>
          <w:p>
            <w:pPr>
              <w:numPr>
                <w:ilvl w:val="0"/>
                <w:numId w:val="0"/>
              </w:numPr>
              <w:autoSpaceDE/>
              <w:autoSpaceDN/>
              <w:snapToGrid w:val="0"/>
              <w:spacing w:before="0" w:after="200" w:line="5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b/>
                <w:color w:val="auto"/>
                <w:position w:val="0"/>
                <w:sz w:val="24"/>
                <w:szCs w:val="24"/>
              </w:rPr>
              <w:t>响应文件组成：</w:t>
            </w:r>
            <w:r>
              <w:rPr>
                <w:rFonts w:hint="default" w:ascii="仿宋" w:hAnsi="仿宋" w:eastAsia="仿宋"/>
                <w:color w:val="auto"/>
                <w:position w:val="0"/>
                <w:sz w:val="24"/>
                <w:szCs w:val="24"/>
              </w:rPr>
              <w:t>响应文件由商务文件、技术文件和报价文件组成（装订成一册）。响应文件一式伍份（正本壹份，副本肆份）。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12</w:t>
            </w:r>
          </w:p>
        </w:tc>
        <w:tc>
          <w:tcPr>
            <w:tcW w:w="7837" w:type="dxa"/>
            <w:tcBorders>
              <w:right w:val="single" w:color="auto" w:sz="12" w:space="0"/>
            </w:tcBorders>
            <w:vAlign w:val="top"/>
          </w:tcPr>
          <w:p>
            <w:pPr>
              <w:numPr>
                <w:ilvl w:val="0"/>
                <w:numId w:val="0"/>
              </w:numPr>
              <w:autoSpaceDE/>
              <w:autoSpaceDN/>
              <w:snapToGrid w:val="0"/>
              <w:spacing w:before="0" w:after="200" w:line="5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投标有效期：投标截止日起60日。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13</w:t>
            </w:r>
          </w:p>
        </w:tc>
        <w:tc>
          <w:tcPr>
            <w:tcW w:w="7837" w:type="dxa"/>
            <w:tcBorders>
              <w:right w:val="single" w:color="auto" w:sz="12" w:space="0"/>
            </w:tcBorders>
            <w:vAlign w:val="top"/>
          </w:tcPr>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投标截止时间：详见谈判公告。</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响应文件递交地点：详见谈判公告。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14</w:t>
            </w:r>
          </w:p>
        </w:tc>
        <w:tc>
          <w:tcPr>
            <w:tcW w:w="7837" w:type="dxa"/>
            <w:tcBorders>
              <w:right w:val="single" w:color="auto" w:sz="12" w:space="0"/>
            </w:tcBorders>
            <w:vAlign w:val="top"/>
          </w:tcPr>
          <w:p>
            <w:pPr>
              <w:numPr>
                <w:ilvl w:val="0"/>
                <w:numId w:val="0"/>
              </w:numPr>
              <w:autoSpaceDE/>
              <w:autoSpaceDN/>
              <w:snapToGrid w:val="0"/>
              <w:spacing w:before="0" w:after="200" w:line="500" w:lineRule="exact"/>
              <w:ind w:right="0" w:firstLine="0"/>
              <w:jc w:val="left"/>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响应文件递交截止时间：</w:t>
            </w:r>
            <w:r>
              <w:rPr>
                <w:rFonts w:hint="default" w:ascii="仿宋" w:hAnsi="仿宋" w:eastAsia="仿宋"/>
                <w:b/>
                <w:color w:val="FF0000"/>
                <w:position w:val="0"/>
                <w:sz w:val="24"/>
                <w:szCs w:val="24"/>
              </w:rPr>
              <w:t>2018年06月27日14时00分。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15</w:t>
            </w:r>
          </w:p>
        </w:tc>
        <w:tc>
          <w:tcPr>
            <w:tcW w:w="7837" w:type="dxa"/>
            <w:tcBorders>
              <w:right w:val="single" w:color="auto" w:sz="12" w:space="0"/>
            </w:tcBorders>
            <w:vAlign w:val="top"/>
          </w:tcPr>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开标时间：详见谈判公告。</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开标地点：详见谈判公告。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16</w:t>
            </w:r>
          </w:p>
        </w:tc>
        <w:tc>
          <w:tcPr>
            <w:tcW w:w="7837" w:type="dxa"/>
            <w:tcBorders>
              <w:right w:val="single" w:color="auto" w:sz="12" w:space="0"/>
            </w:tcBorders>
            <w:vAlign w:val="top"/>
          </w:tcPr>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原件携带要求：</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w:t>
            </w:r>
            <w:r>
              <w:rPr>
                <w:rFonts w:hint="default" w:ascii="仿宋" w:hAnsi="Times New Roman" w:eastAsia="Times New Roman"/>
                <w:color w:val="auto"/>
                <w:position w:val="0"/>
                <w:sz w:val="24"/>
                <w:szCs w:val="24"/>
              </w:rPr>
              <w:t>1.</w:t>
            </w:r>
            <w:r>
              <w:rPr>
                <w:rFonts w:hint="default" w:ascii="仿宋" w:hAnsi="仿宋" w:eastAsia="仿宋"/>
                <w:color w:val="auto"/>
                <w:position w:val="0"/>
                <w:sz w:val="24"/>
                <w:szCs w:val="24"/>
              </w:rPr>
              <w:t>投标人应在开标会现场提交下列资格证明材料：</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w:t>
            </w:r>
            <w:r>
              <w:rPr>
                <w:rFonts w:hint="default" w:ascii="仿宋" w:hAnsi="Times New Roman" w:eastAsia="Times New Roman"/>
                <w:color w:val="auto"/>
                <w:position w:val="0"/>
                <w:sz w:val="24"/>
                <w:szCs w:val="24"/>
              </w:rPr>
              <w:t>1.1</w:t>
            </w:r>
            <w:r>
              <w:rPr>
                <w:rFonts w:hint="default" w:ascii="仿宋" w:hAnsi="仿宋" w:eastAsia="仿宋"/>
                <w:color w:val="auto"/>
                <w:position w:val="0"/>
                <w:sz w:val="24"/>
                <w:szCs w:val="24"/>
              </w:rPr>
              <w:t>有效的企业法人营业执照副本或事业单位法人证书副本，均为原件；</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w:t>
            </w:r>
            <w:r>
              <w:rPr>
                <w:rFonts w:hint="default" w:ascii="仿宋" w:hAnsi="Times New Roman" w:eastAsia="Times New Roman"/>
                <w:color w:val="auto"/>
                <w:position w:val="0"/>
                <w:sz w:val="24"/>
                <w:szCs w:val="24"/>
              </w:rPr>
              <w:t>1.2</w:t>
            </w:r>
            <w:r>
              <w:rPr>
                <w:rFonts w:hint="default" w:ascii="仿宋" w:hAnsi="仿宋" w:eastAsia="仿宋"/>
                <w:color w:val="auto"/>
                <w:position w:val="0"/>
                <w:sz w:val="24"/>
                <w:szCs w:val="24"/>
              </w:rPr>
              <w:t>建设行政主管部门核发的房屋建筑工程总承包三级及以上资质证书，均为原件；</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w:t>
            </w:r>
            <w:r>
              <w:rPr>
                <w:rFonts w:hint="default" w:ascii="仿宋" w:hAnsi="Times New Roman" w:eastAsia="Times New Roman"/>
                <w:color w:val="auto"/>
                <w:position w:val="0"/>
                <w:sz w:val="24"/>
                <w:szCs w:val="24"/>
              </w:rPr>
              <w:t xml:space="preserve">1.3 </w:t>
            </w:r>
            <w:r>
              <w:rPr>
                <w:rFonts w:hint="default" w:ascii="仿宋" w:hAnsi="仿宋" w:eastAsia="仿宋"/>
                <w:color w:val="auto"/>
                <w:position w:val="0"/>
                <w:sz w:val="24"/>
                <w:szCs w:val="24"/>
              </w:rPr>
              <w:t>投标人资格条件中要求的类似业绩：近三年至今独立承担过类似工程项目的合同书原件；</w:t>
            </w:r>
          </w:p>
          <w:p>
            <w:pPr>
              <w:numPr>
                <w:ilvl w:val="0"/>
                <w:numId w:val="0"/>
              </w:numPr>
              <w:autoSpaceDE/>
              <w:autoSpaceDN/>
              <w:snapToGrid w:val="0"/>
              <w:spacing w:before="0" w:after="0" w:line="360" w:lineRule="auto"/>
              <w:ind w:right="0" w:firstLine="468"/>
              <w:jc w:val="left"/>
              <w:rPr>
                <w:rFonts w:hint="default" w:ascii="仿宋" w:hAnsi="Times New Roman" w:eastAsia="Times New Roman"/>
                <w:color w:val="auto"/>
                <w:position w:val="0"/>
                <w:sz w:val="24"/>
                <w:szCs w:val="24"/>
              </w:rPr>
            </w:pPr>
            <w:r>
              <w:rPr>
                <w:rFonts w:hint="default" w:ascii="仿宋" w:hAnsi="Times New Roman" w:eastAsia="Times New Roman"/>
                <w:color w:val="auto"/>
                <w:position w:val="0"/>
                <w:sz w:val="24"/>
                <w:szCs w:val="24"/>
              </w:rPr>
              <w:t>1.4</w:t>
            </w:r>
            <w:r>
              <w:rPr>
                <w:rFonts w:hint="default" w:ascii="仿宋" w:hAnsi="仿宋" w:eastAsia="仿宋"/>
                <w:color w:val="auto"/>
                <w:position w:val="0"/>
                <w:sz w:val="24"/>
                <w:szCs w:val="24"/>
              </w:rPr>
              <w:t>项目负责人房屋建筑工程二级建造师及以上注册证书原件；</w:t>
            </w:r>
          </w:p>
          <w:p>
            <w:pPr>
              <w:numPr>
                <w:ilvl w:val="0"/>
                <w:numId w:val="0"/>
              </w:numPr>
              <w:autoSpaceDE/>
              <w:autoSpaceDN/>
              <w:snapToGrid w:val="0"/>
              <w:spacing w:before="0" w:after="0" w:line="360" w:lineRule="auto"/>
              <w:ind w:right="0" w:firstLine="468"/>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1.5近三年财务审计报告（2015、2016、2017年，企业成立不足三年的根据实际情况提供）；</w:t>
            </w:r>
          </w:p>
          <w:p>
            <w:pPr>
              <w:numPr>
                <w:ilvl w:val="0"/>
                <w:numId w:val="0"/>
              </w:numPr>
              <w:autoSpaceDE/>
              <w:autoSpaceDN/>
              <w:snapToGrid w:val="0"/>
              <w:spacing w:before="0" w:after="0" w:line="360" w:lineRule="auto"/>
              <w:ind w:right="0" w:firstLine="468"/>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1.6《检查机关行贿犯罪档案查询结果告知函》；</w:t>
            </w:r>
          </w:p>
          <w:p>
            <w:pPr>
              <w:numPr>
                <w:ilvl w:val="0"/>
                <w:numId w:val="0"/>
              </w:numPr>
              <w:autoSpaceDE/>
              <w:autoSpaceDN/>
              <w:snapToGrid w:val="0"/>
              <w:spacing w:before="0" w:after="0" w:line="360" w:lineRule="auto"/>
              <w:ind w:right="0" w:firstLine="468"/>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1.7投标人在参加投标活动前三年内，在经营活动中没有重大违法记录（提供书面声明）；没有不良行为记录（提供全国建筑市场监管公共服务平台查询记录截图和信用中国查询截图）；</w:t>
            </w:r>
          </w:p>
          <w:p>
            <w:pPr>
              <w:numPr>
                <w:ilvl w:val="0"/>
                <w:numId w:val="0"/>
              </w:numPr>
              <w:autoSpaceDE/>
              <w:autoSpaceDN/>
              <w:snapToGrid w:val="0"/>
              <w:spacing w:before="0" w:after="0" w:line="360" w:lineRule="auto"/>
              <w:ind w:right="0" w:firstLine="468"/>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1.8不拖欠农民工工资承诺书；</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w:t>
            </w:r>
            <w:r>
              <w:rPr>
                <w:rFonts w:hint="default" w:ascii="仿宋" w:hAnsi="Times New Roman" w:eastAsia="Times New Roman"/>
                <w:color w:val="auto"/>
                <w:position w:val="0"/>
                <w:sz w:val="24"/>
                <w:szCs w:val="24"/>
              </w:rPr>
              <w:t>1.</w:t>
            </w:r>
            <w:r>
              <w:rPr>
                <w:rFonts w:hint="default" w:ascii="仿宋" w:hAnsi="仿宋" w:eastAsia="仿宋"/>
                <w:color w:val="auto"/>
                <w:position w:val="0"/>
                <w:sz w:val="24"/>
                <w:szCs w:val="24"/>
              </w:rPr>
              <w:t>9法定代表人授权委托书（法定代表人授权他人参加开标会的情形须提供）、法定代表人或其委托代理人的身份证件，均为原件；</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w:t>
            </w:r>
            <w:r>
              <w:rPr>
                <w:rFonts w:hint="default" w:ascii="仿宋" w:hAnsi="Times New Roman" w:eastAsia="Times New Roman"/>
                <w:color w:val="auto"/>
                <w:position w:val="0"/>
                <w:sz w:val="24"/>
                <w:szCs w:val="24"/>
              </w:rPr>
              <w:t>1</w:t>
            </w:r>
            <w:r>
              <w:rPr>
                <w:rFonts w:hint="default" w:ascii="仿宋" w:hAnsi="仿宋" w:eastAsia="仿宋"/>
                <w:color w:val="auto"/>
                <w:position w:val="0"/>
                <w:sz w:val="24"/>
                <w:szCs w:val="24"/>
              </w:rPr>
              <w:t>）公证机关的公证书原件（应当提供证件的主要信息）；</w:t>
            </w:r>
          </w:p>
          <w:p>
            <w:pPr>
              <w:numPr>
                <w:ilvl w:val="0"/>
                <w:numId w:val="0"/>
              </w:numPr>
              <w:autoSpaceDE/>
              <w:autoSpaceDN/>
              <w:snapToGrid w:val="0"/>
              <w:spacing w:before="0" w:after="0" w:line="360" w:lineRule="auto"/>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 xml:space="preserve">   （2）证件原件办理年审、换证、遗失或其他客观情形不能携带至现场的，提供发证机关的证明材料原件，证明材料中应当注明证件的主要信息。</w:t>
            </w:r>
          </w:p>
          <w:p>
            <w:pPr>
              <w:numPr>
                <w:ilvl w:val="0"/>
                <w:numId w:val="0"/>
              </w:numPr>
              <w:autoSpaceDE/>
              <w:autoSpaceDN/>
              <w:snapToGrid w:val="0"/>
              <w:spacing w:before="0" w:after="0" w:line="360" w:lineRule="auto"/>
              <w:ind w:right="0" w:firstLine="480"/>
              <w:jc w:val="left"/>
              <w:rPr>
                <w:rFonts w:hint="default" w:ascii="仿宋" w:hAnsi="Times New Roman" w:eastAsia="Times New Roman"/>
                <w:color w:val="auto"/>
                <w:position w:val="0"/>
                <w:sz w:val="24"/>
                <w:szCs w:val="24"/>
              </w:rPr>
            </w:pPr>
            <w:r>
              <w:rPr>
                <w:rFonts w:hint="default" w:ascii="仿宋" w:hAnsi="Times New Roman" w:eastAsia="Times New Roman"/>
                <w:color w:val="auto"/>
                <w:position w:val="0"/>
                <w:sz w:val="24"/>
                <w:szCs w:val="24"/>
              </w:rPr>
              <w:t xml:space="preserve">2. </w:t>
            </w:r>
            <w:r>
              <w:rPr>
                <w:rFonts w:hint="default" w:ascii="仿宋" w:hAnsi="仿宋" w:eastAsia="仿宋"/>
                <w:color w:val="auto"/>
                <w:position w:val="0"/>
                <w:sz w:val="24"/>
                <w:szCs w:val="24"/>
              </w:rPr>
              <w:t>上述第</w:t>
            </w:r>
            <w:r>
              <w:rPr>
                <w:rFonts w:hint="default" w:ascii="仿宋" w:hAnsi="Times New Roman" w:eastAsia="Times New Roman"/>
                <w:color w:val="auto"/>
                <w:position w:val="0"/>
                <w:sz w:val="24"/>
                <w:szCs w:val="24"/>
              </w:rPr>
              <w:t>1</w:t>
            </w:r>
            <w:r>
              <w:rPr>
                <w:rFonts w:hint="default" w:ascii="仿宋" w:hAnsi="仿宋" w:eastAsia="仿宋"/>
                <w:color w:val="auto"/>
                <w:position w:val="0"/>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代理人存档，不退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numPr>
                <w:ilvl w:val="0"/>
                <w:numId w:val="0"/>
              </w:numPr>
              <w:autoSpaceDE/>
              <w:autoSpaceDN/>
              <w:snapToGrid w:val="0"/>
              <w:spacing w:before="0" w:after="200" w:line="500" w:lineRule="exact"/>
              <w:ind w:right="0" w:firstLine="0"/>
              <w:jc w:val="center"/>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17</w:t>
            </w:r>
          </w:p>
        </w:tc>
        <w:tc>
          <w:tcPr>
            <w:tcW w:w="7837" w:type="dxa"/>
            <w:tcBorders>
              <w:right w:val="single" w:color="auto" w:sz="12" w:space="0"/>
            </w:tcBorders>
            <w:vAlign w:val="top"/>
          </w:tcPr>
          <w:p>
            <w:pPr>
              <w:numPr>
                <w:ilvl w:val="0"/>
                <w:numId w:val="0"/>
              </w:numPr>
              <w:autoSpaceDE/>
              <w:autoSpaceDN/>
              <w:snapToGrid w:val="0"/>
              <w:spacing w:before="0" w:after="200" w:line="500" w:lineRule="exact"/>
              <w:ind w:right="0" w:firstLine="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评标办法：综合评分法</w:t>
            </w:r>
          </w:p>
        </w:tc>
      </w:tr>
    </w:tbl>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1.总  则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1.1适用范围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本谈判文件仅适用于本次采购项目的招标、投标、评标、定标、验收、合同履约、付款等行为（法律、法规另有规定的，从其规定）。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1.2定义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1.2.1“采购人”是指采购单位</w:t>
      </w:r>
      <w:r>
        <w:rPr>
          <w:rFonts w:hint="default" w:ascii="仿宋" w:hAnsi="仿宋" w:eastAsia="仿宋"/>
          <w:color w:val="auto"/>
          <w:position w:val="0"/>
          <w:sz w:val="24"/>
          <w:szCs w:val="24"/>
          <w:u w:val="single"/>
        </w:rPr>
        <w:t>恩施大峡谷旅游开发有限公司</w:t>
      </w:r>
      <w:r>
        <w:rPr>
          <w:rFonts w:hint="default" w:ascii="仿宋" w:hAnsi="仿宋" w:eastAsia="仿宋"/>
          <w:color w:val="auto"/>
          <w:position w:val="0"/>
          <w:sz w:val="24"/>
          <w:szCs w:val="24"/>
        </w:rPr>
        <w:t xml:space="preserve">。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1.2.2“供应商”是指对本次谈判采购项目表现出兴趣，并有可能实际参与该项目投标的法人。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1.2.3“投标人”是指按照一定的程序，从采购人获取了招标文件，并向采购人提交投标文件的供应商。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1.2.4“招标采购单位”是指采购人。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1.2.5 “服务”是指谈判文件规定中标方须承担的设计工作及相应的配合服务工作。具体详见谈判文件第三章。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1.2.6“项目”是指中标人按谈判文件规定向采购人提供相关服务。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1.2.7谈判文件中带“▲”条款为实质性要求条款，投标人应无条件响应，否则视为无效投标。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1.3招标方式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本次招标采用竞争性谈判方式进行。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1.4投标人资格条件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1.4.1投标人资格条件：见投标人须知前附表及谈判公告。</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 1.5投标费用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不论投标结果如何，投标人均应自行承担所有与投标有关的全部费用。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1.6转包与分包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本项目不允许转包和分包。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1.7现场勘踏：</w:t>
      </w:r>
      <w:r>
        <w:rPr>
          <w:rFonts w:hint="default" w:ascii="仿宋" w:hAnsi="仿宋" w:eastAsia="仿宋"/>
          <w:color w:val="auto"/>
          <w:position w:val="0"/>
          <w:sz w:val="24"/>
          <w:szCs w:val="24"/>
        </w:rPr>
        <w:t xml:space="preserve">见投标人须知前附表。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1.8特别说明：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1.8.1 投标人投标所使用的资格必须为本法人所拥有。投标人投标所使用的项目实施人员必须为本法人员工。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1.8.2投标人应仔细阅读谈判文件的所有内容，按照谈判文件的要求提交响应文件，并对所提供的全部资料的真实性承担法律责任。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1.8.4投标人递交的响应文件除投标截止时间前书面撤回、密封不符合规定退回等谈判文件规定情形外，均不退回投标人，请投标人自行做好存档。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 2.谈判文件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 2.1谈判文件的构成。本谈判文件由以下部份组成：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（1）谈判公告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（2）投标人须知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（3）采购需求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（4）评标办法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（5）响应文件格式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（6）本项目谈判文件的澄清、答复、修改、补充的内容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2.2谈判文件中涉及的时间为北京时间，涉及的币种为人民币。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2.3投标人的风险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投标人没有按照谈判文件要求提供全部资料，或者投标人没有对谈判文件在各方面作出实质性响应是投标人的风险，并可能导致其投标被拒绝。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2.4谈判文件的澄清与修改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2.4.2谈判文件收受人逾期未提出疑问的或未按谈判文件规定的形式提出疑问的，视为无疑问，招标采购单位不再另行安排时间答疑。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2.4.4谈判文件澄清、答复、修改、补充的内容为谈判文件的组成部分。当谈判文件与谈判文件的答复、澄清、修改、补充通知就同一内容的表述不一致时，以最后发出的内容为准。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 3.响应文件的编制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3.1响应文件的组成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响应文件应包括：商务文件、技术文件和投标报价文件三个部分（装订成一册），响应文件一式五份，正本壹份、副本肆份。 投标文件电子文件一份（U盘），报价文件为广联达软件版。</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3.1.1商务文件包括：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（1）法定代表人授权委托书(格式见谈判文件)；</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（2）证明投标人合格的资格文件（要求见谈判文件）；</w:t>
      </w:r>
    </w:p>
    <w:p>
      <w:pPr>
        <w:numPr>
          <w:ilvl w:val="0"/>
          <w:numId w:val="0"/>
        </w:numPr>
        <w:autoSpaceDE/>
        <w:autoSpaceDN/>
        <w:snapToGrid w:val="0"/>
        <w:spacing w:before="0" w:after="0" w:line="360" w:lineRule="auto"/>
        <w:ind w:right="0" w:firstLine="465"/>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（3）投标人业绩； </w:t>
      </w:r>
    </w:p>
    <w:p>
      <w:pPr>
        <w:numPr>
          <w:ilvl w:val="0"/>
          <w:numId w:val="0"/>
        </w:numPr>
        <w:autoSpaceDE/>
        <w:autoSpaceDN/>
        <w:snapToGrid w:val="0"/>
        <w:spacing w:before="0" w:after="0" w:line="360" w:lineRule="auto"/>
        <w:ind w:right="0" w:firstLine="465"/>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（4）近三年财务审计报告（2015、2016、2017，企业成立不足三年的根据实际情况提供）；</w:t>
      </w:r>
    </w:p>
    <w:p>
      <w:pPr>
        <w:numPr>
          <w:ilvl w:val="0"/>
          <w:numId w:val="0"/>
        </w:numPr>
        <w:autoSpaceDE/>
        <w:autoSpaceDN/>
        <w:snapToGrid w:val="0"/>
        <w:spacing w:before="0" w:after="0" w:line="360" w:lineRule="auto"/>
        <w:ind w:right="0" w:firstLine="48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（5）拟派的项目负责人及主要管理人员近三个月（自投标截止时间前推3个月）的社保明细（社保局盖章）；</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 xml:space="preserve">    （6）投标人认为需要提交的其他材料（如有）。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3.1.2技术文件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（1）机构设置及主要人员情况介绍（格式见谈判文件）；</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（2）施工组织设计或施工方案（格式自拟）； </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（3）投标人需要说明的其他文件和说明（如有）。</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3.1.3投标报价文件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（1）投标函（格式见谈判文件）。投标函除在响应文件中装订外，还应单独装订一份密封在信封内，唱标时使用。</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（2）报价书（格式见谈判文件）。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3.2响应文件的语言及计量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3.3投标报价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3.3.1投标报价应按谈判文件中相关附表格式填写。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3.3.2投标报价不得超过投标限价，否则将被视为无效投标。</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3.3.3响应文件中的投标报价只允许有一个报价，有选择的或有条件的报价将不予接受。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 3.4证明投标人合格的资格文件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投标人在其响应文件中，应提供证明其有资格参加投标，以及中标后有履行合同所必需的人员、管理等方面能力的证明文件，包括但不限于以下方面：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3.4.1年检合格的企业法人营业执照副本或事业单位法人证书复印件；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3.4.2投标人及其法定代表人近三年内无行贿犯罪记录的书面承诺。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3.5证明服务符合谈判文件规定的文件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3.5.1谈判文件商务要求和技术参数前如标有“▲”号，则表示该参数为关键性商务或技术参数，投标人必须无条件满足，否则该投标人的响应文件在评审中将被视为无效投标。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3.6谈判文件的有效期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3.6.1自谈判截止日起60天内响应文件应保持有效。有效期不足的响应文件将被拒绝。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3.7响应文件的编制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3.7.1</w:t>
      </w:r>
      <w:r>
        <w:rPr>
          <w:rFonts w:hint="default" w:ascii="仿宋" w:hAnsi="仿宋" w:eastAsia="仿宋"/>
          <w:b/>
          <w:color w:val="auto"/>
          <w:position w:val="0"/>
          <w:sz w:val="24"/>
          <w:szCs w:val="24"/>
          <w:u w:val="single"/>
        </w:rPr>
        <w:t>投标人应按本谈判文件规定的格式、要求和顺序编制、装订响应文件，响应文件内容不完整、编排混乱导致响应文件被误读、漏读或者查找不到相关内容的，投标无效</w:t>
      </w:r>
      <w:r>
        <w:rPr>
          <w:rFonts w:hint="default" w:ascii="仿宋" w:hAnsi="仿宋" w:eastAsia="仿宋"/>
          <w:color w:val="auto"/>
          <w:position w:val="0"/>
          <w:sz w:val="24"/>
          <w:szCs w:val="24"/>
        </w:rPr>
        <w:t xml:space="preserve">。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3.7.2响应文件的正本与副本须打印或用不褪色的墨水填写。响应文件封面须清楚地标明“正本”或“副本”字样，正本与副本内容一致；若正本与副本不一致，以正本为准。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3.7.3响应文件封面应当由投标人盖公章。《投标函》应由投标人盖公章或由法定代表人（或其委托代理人）签名的，仅由委托代理人签名的，应提供有效的法定代表人授权委托书。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3.7.4响应文件应尽量避免涂改、行间插字或删除。如果出现上述情况，应当由投标人的法定代表人（或委托代理人）签名或由投标人盖公章。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 3.8响应文件的装订、密封、修改和撤回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3.8.1响应文件的正本、副本应分别装订成册。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3.8.2所有响应文件装订须牢固不易拆散和换页。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3.8.3投标人应将响应文件用密封袋密封包装。</w:t>
      </w:r>
      <w:r>
        <w:rPr>
          <w:rFonts w:hint="default" w:ascii="仿宋" w:hAnsi="仿宋" w:eastAsia="仿宋"/>
          <w:b/>
          <w:color w:val="auto"/>
          <w:position w:val="0"/>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hint="default" w:ascii="仿宋" w:hAnsi="仿宋" w:eastAsia="仿宋"/>
          <w:b/>
          <w:color w:val="auto"/>
          <w:position w:val="0"/>
          <w:sz w:val="24"/>
          <w:szCs w:val="24"/>
        </w:rPr>
        <w:t>。</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3.9响应文件的递交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3.9.1投标人应当在谈判须知前附表和谈判公告规定的谈判截止时间前向采购人递交响应文件，逾期递交的响应文件将被拒绝。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3.9.2响应文件必须由专人按照谈判须知前附表和谈判公告注明的地址送达，采用特快专递、电话、传真形式的，将被拒绝。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4.开标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4.1采购人将按谈判须知前附表和谈判公告规定的时间和地点组织开标，投标人的法定代表人或其委托代理人应持身份证参加开标会并签到。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4.2开标程序：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4.2.1开标会由采购人主持，主持人宣布开标会议开始。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4.2.2 投标人递交资格证明材料。详见投标人须知前附表。</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4.2.3查验投标人到场情况及响应文件的密封情况。投标人的法定代表人或其委托代理人未参加开标会，或投响应文件没有按规定密封的，响应文件将被拒绝、退还给投标人。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4.2.5密封情况及参加人员情况检查完成后进行资格审查和符合性审查。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4.2.6资格性审查和符合性审查结束后，由主持人公布无效投标的投标人名单、投标无效的原因。</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4.2.7工作人员当众拆封经上述审查后有效投标的投标报价文件，唱标人宣读投标人名称、投标报价，并由投标人在投标报价记录上签字确认。</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4.2.8开标会由专人负责记录。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4.2.9投标人对开标有异议的，应当在开标现场提出。开标后投标人不得对开标现场已确认事项提出质疑。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 5.评标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5.1组建评标委员会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采购人根据采购项目的特点组建评标委员会。评标委员会由5人或以上奇数组成。具体评标事务由评标委员会负责。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5.2评标的方式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本项目采用不公开方式评标，评标的依据为谈判文件和响应文件。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5.3评标原则和评标办法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5.3.2评标办法。本项目评标办法是综合评分法。评标委员会应根据投标人的资格条件、业绩、财务状况、技术力量、履约能力和投标报价进行综合评定。</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5.4评标程序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5.4.1资格性审查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5.4.2商务文件和技术文件的符合性审查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5.4.3投标报价文件的符合性审查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5.4.4推荐中标候选人</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6.定标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6.1评标委员会综合评估后，推荐中标候选人。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6.2采购人于评标结束后依据评审意见表确定中标人。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7.合同授予 </w:t>
      </w:r>
    </w:p>
    <w:p>
      <w:pPr>
        <w:numPr>
          <w:ilvl w:val="0"/>
          <w:numId w:val="0"/>
        </w:numPr>
        <w:autoSpaceDE/>
        <w:autoSpaceDN/>
        <w:snapToGrid w:val="0"/>
        <w:spacing w:before="0" w:after="0" w:line="360" w:lineRule="auto"/>
        <w:ind w:right="0" w:firstLine="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 xml:space="preserve">    </w:t>
      </w:r>
      <w:r>
        <w:rPr>
          <w:rFonts w:hint="default" w:ascii="仿宋" w:hAnsi="仿宋" w:eastAsia="仿宋"/>
          <w:b/>
          <w:color w:val="auto"/>
          <w:position w:val="0"/>
          <w:sz w:val="24"/>
          <w:szCs w:val="24"/>
        </w:rPr>
        <w:t xml:space="preserve">7.1签订合同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7.1.1中标人应自接到采购人通知之日起3个工作日内到采购人处领取中标通知书，无故逾期不领取的，视为自动放弃中标资格。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7.1.2中标人应在领取中标通知书之日起30个工作日内与采购人签订合同。 </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7.1.3签订合同的依据是谈判文件和中标人的投标响应文件，不得对其作实质性的修改，否则签订的合同无效。</w:t>
      </w:r>
    </w:p>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pPr>
        <w:numPr>
          <w:ilvl w:val="0"/>
          <w:numId w:val="0"/>
        </w:numPr>
        <w:autoSpaceDE/>
        <w:autoSpaceDN/>
        <w:snapToGrid w:val="0"/>
        <w:spacing w:before="0" w:after="200" w:line="220" w:lineRule="atLeast"/>
        <w:ind w:right="0" w:firstLine="270"/>
        <w:jc w:val="left"/>
        <w:rPr>
          <w:rFonts w:hint="default" w:ascii="仿宋" w:hAnsi="仿宋" w:eastAsia="仿宋"/>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24"/>
          <w:szCs w:val="24"/>
        </w:rPr>
      </w:pPr>
    </w:p>
    <w:p>
      <w:pPr>
        <w:pStyle w:val="2"/>
        <w:numPr>
          <w:ilvl w:val="0"/>
          <w:numId w:val="0"/>
        </w:numPr>
        <w:autoSpaceDE/>
        <w:autoSpaceDN/>
        <w:snapToGrid/>
        <w:spacing w:before="340" w:after="330" w:line="576" w:lineRule="auto"/>
        <w:ind w:right="0" w:firstLine="0"/>
        <w:jc w:val="center"/>
        <w:outlineLvl w:val="0"/>
        <w:rPr>
          <w:rFonts w:hint="default" w:ascii="宋体" w:hAnsi="MingLiU" w:eastAsia="MingLiU"/>
          <w:b/>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MingLiU" w:eastAsia="MingLiU"/>
          <w:b/>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MingLiU" w:eastAsia="MingLiU"/>
          <w:b/>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MingLiU" w:eastAsia="MingLiU"/>
          <w:b/>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MingLiU" w:eastAsia="MingLiU"/>
          <w:b/>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MingLiU" w:eastAsia="MingLiU"/>
          <w:b/>
          <w:color w:val="auto"/>
          <w:position w:val="0"/>
          <w:sz w:val="28"/>
          <w:szCs w:val="28"/>
        </w:rPr>
      </w:pPr>
      <w:bookmarkStart w:id="2" w:name="_Toc233114000"/>
      <w:bookmarkStart w:id="3" w:name="_Toc294434386"/>
      <w:bookmarkStart w:id="4" w:name="_Toc448855850"/>
      <w:bookmarkStart w:id="5" w:name="_Toc504125540"/>
      <w:r>
        <w:rPr>
          <w:rFonts w:hint="default" w:ascii="宋体" w:hAnsi="Times New Roman" w:eastAsia="Times New Roman"/>
          <w:b/>
          <w:color w:val="auto"/>
          <w:position w:val="0"/>
          <w:sz w:val="28"/>
          <w:szCs w:val="28"/>
        </w:rPr>
        <w:t>第三章 评标办法（综合评分法）</w:t>
      </w:r>
      <w:bookmarkEnd w:id="2"/>
      <w:bookmarkEnd w:id="3"/>
      <w:bookmarkEnd w:id="4"/>
      <w:bookmarkEnd w:id="5"/>
    </w:p>
    <w:p>
      <w:pPr>
        <w:pStyle w:val="4"/>
        <w:numPr>
          <w:ilvl w:val="0"/>
          <w:numId w:val="0"/>
        </w:numPr>
        <w:autoSpaceDE/>
        <w:autoSpaceDN/>
        <w:snapToGrid/>
        <w:spacing w:before="0" w:after="0" w:line="240" w:lineRule="auto"/>
        <w:ind w:right="0" w:firstLine="0"/>
        <w:jc w:val="center"/>
        <w:outlineLvl w:val="2"/>
        <w:rPr>
          <w:rFonts w:hint="default" w:ascii="仿宋" w:hAnsi="仿宋" w:eastAsia="仿宋"/>
          <w:b/>
          <w:color w:val="auto"/>
          <w:position w:val="0"/>
          <w:sz w:val="24"/>
          <w:szCs w:val="24"/>
        </w:rPr>
      </w:pPr>
      <w:bookmarkStart w:id="6" w:name="_Toc504125541"/>
      <w:bookmarkStart w:id="7" w:name="_Toc490494607"/>
      <w:bookmarkStart w:id="8" w:name="_Toc420764374"/>
      <w:bookmarkStart w:id="9" w:name="_Toc420778141"/>
      <w:bookmarkStart w:id="10" w:name="_Toc448855851"/>
      <w:r>
        <w:rPr>
          <w:rFonts w:hint="default" w:ascii="仿宋" w:hAnsi="仿宋" w:eastAsia="仿宋"/>
          <w:b/>
          <w:color w:val="auto"/>
          <w:position w:val="0"/>
          <w:sz w:val="24"/>
          <w:szCs w:val="24"/>
        </w:rPr>
        <w:t>评标办法前附表</w:t>
      </w:r>
      <w:bookmarkEnd w:id="6"/>
      <w:bookmarkEnd w:id="7"/>
    </w:p>
    <w:tbl>
      <w:tblPr>
        <w:tblStyle w:val="31"/>
        <w:tblW w:w="933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98"/>
        <w:gridCol w:w="1245"/>
        <w:gridCol w:w="2489"/>
        <w:gridCol w:w="49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1943" w:type="dxa"/>
            <w:gridSpan w:val="2"/>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条款号</w:t>
            </w: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评审因素</w:t>
            </w:r>
          </w:p>
        </w:tc>
        <w:tc>
          <w:tcPr>
            <w:tcW w:w="4903" w:type="dxa"/>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评审标准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3.1.1</w:t>
            </w:r>
          </w:p>
        </w:tc>
        <w:tc>
          <w:tcPr>
            <w:tcW w:w="1245"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形式评审</w:t>
            </w:r>
          </w:p>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标准</w:t>
            </w: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投标人名称</w:t>
            </w:r>
          </w:p>
        </w:tc>
        <w:tc>
          <w:tcPr>
            <w:tcW w:w="4903"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与营业执照、资质证书、安全生产许可证一致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投标函签字盖章</w:t>
            </w:r>
          </w:p>
        </w:tc>
        <w:tc>
          <w:tcPr>
            <w:tcW w:w="4903" w:type="dxa"/>
            <w:tcMar>
              <w:left w:w="57" w:type="dxa"/>
              <w:right w:w="57" w:type="dxa"/>
            </w:tcMar>
            <w:vAlign w:val="center"/>
          </w:tcPr>
          <w:p>
            <w:pPr>
              <w:numPr>
                <w:ilvl w:val="0"/>
                <w:numId w:val="0"/>
              </w:numPr>
              <w:autoSpaceDE/>
              <w:autoSpaceDN/>
              <w:snapToGrid w:val="0"/>
              <w:spacing w:before="0" w:after="200" w:line="400" w:lineRule="exact"/>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有法定代表人或其委托代理人签字并加盖单位章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投标文件格式</w:t>
            </w:r>
          </w:p>
        </w:tc>
        <w:tc>
          <w:tcPr>
            <w:tcW w:w="4903"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符合第八章“投标文件格式”的要求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报价唯一</w:t>
            </w:r>
          </w:p>
        </w:tc>
        <w:tc>
          <w:tcPr>
            <w:tcW w:w="4903"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只能有一个有效报价，不允许有调价函。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3.1.2</w:t>
            </w:r>
          </w:p>
        </w:tc>
        <w:tc>
          <w:tcPr>
            <w:tcW w:w="1245"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资格评审</w:t>
            </w:r>
          </w:p>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标准</w:t>
            </w: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营业执照</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具备有效的营业执照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安全生产许可证</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具备有效的安全生产许可证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资质等级</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符合第二章“投标人须知前附表”第16项规定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财务状况</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符合第二章“投标人须知前附表”第16项规定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类似项目业绩</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符合第二章“投标人须知前附表”第16项规定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信誉</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符合第二章“投标人须知前附表”第16项规定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项目经理</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符合第二章“投标人须知前附表”第16项规定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其他要求</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符合第二章“投标人须知前附表”第16项规定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3.1.3</w:t>
            </w:r>
          </w:p>
        </w:tc>
        <w:tc>
          <w:tcPr>
            <w:tcW w:w="1245"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响应性</w:t>
            </w:r>
          </w:p>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评审标准</w:t>
            </w: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投标内容</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符合第二章“投标人须知”第3项规定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工期</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符合第二章“投标人须知”第3项规定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工程质量</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符合第二章“投标人须知”第3项规定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投标有效期</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符合第二章“投标人须知”第3项规定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权利义务</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符合第四章“合同条款及格式”规定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已标价工程量清单</w:t>
            </w:r>
          </w:p>
        </w:tc>
        <w:tc>
          <w:tcPr>
            <w:tcW w:w="4903"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符合招标人给出的范围及工程量。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技术标准和要求</w:t>
            </w:r>
          </w:p>
        </w:tc>
        <w:tc>
          <w:tcPr>
            <w:tcW w:w="4903"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符合现行国家规范标准规定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8" w:hRule="exact"/>
          <w:jc w:val="center"/>
        </w:trPr>
        <w:tc>
          <w:tcPr>
            <w:tcW w:w="698" w:type="dxa"/>
            <w:vMerge w:val="continue"/>
            <w:vAlign w:val="center"/>
          </w:tcPr>
          <w:p/>
        </w:tc>
        <w:tc>
          <w:tcPr>
            <w:tcW w:w="1245" w:type="dxa"/>
            <w:vMerge w:val="continue"/>
            <w:vAlign w:val="center"/>
          </w:tcPr>
          <w:p/>
        </w:tc>
        <w:tc>
          <w:tcPr>
            <w:tcW w:w="2489"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w:t>
            </w:r>
          </w:p>
        </w:tc>
        <w:tc>
          <w:tcPr>
            <w:tcW w:w="4903" w:type="dxa"/>
            <w:tcMar>
              <w:left w:w="57" w:type="dxa"/>
              <w:right w:w="57" w:type="dxa"/>
            </w:tcMar>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w:t>
            </w:r>
          </w:p>
        </w:tc>
      </w:tr>
    </w:tbl>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br w:type="column"/>
      </w:r>
    </w:p>
    <w:tbl>
      <w:tblPr>
        <w:tblStyle w:val="31"/>
        <w:tblW w:w="973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54"/>
        <w:gridCol w:w="854"/>
        <w:gridCol w:w="440"/>
        <w:gridCol w:w="826"/>
        <w:gridCol w:w="1668"/>
        <w:gridCol w:w="519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exact"/>
          <w:jc w:val="center"/>
        </w:trPr>
        <w:tc>
          <w:tcPr>
            <w:tcW w:w="754" w:type="dxa"/>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条款号</w:t>
            </w:r>
          </w:p>
        </w:tc>
        <w:tc>
          <w:tcPr>
            <w:tcW w:w="2120" w:type="dxa"/>
            <w:gridSpan w:val="3"/>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条款内容</w:t>
            </w:r>
          </w:p>
        </w:tc>
        <w:tc>
          <w:tcPr>
            <w:tcW w:w="6860" w:type="dxa"/>
            <w:gridSpan w:val="2"/>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编列内容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117" w:hRule="atLeast"/>
          <w:jc w:val="center"/>
        </w:trPr>
        <w:tc>
          <w:tcPr>
            <w:tcW w:w="754" w:type="dxa"/>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3.2.1</w:t>
            </w:r>
          </w:p>
        </w:tc>
        <w:tc>
          <w:tcPr>
            <w:tcW w:w="2120" w:type="dxa"/>
            <w:gridSpan w:val="3"/>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分值构成</w:t>
            </w:r>
          </w:p>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（总分100分）</w:t>
            </w:r>
          </w:p>
        </w:tc>
        <w:tc>
          <w:tcPr>
            <w:tcW w:w="6860" w:type="dxa"/>
            <w:gridSpan w:val="2"/>
            <w:tcMar>
              <w:left w:w="57" w:type="dxa"/>
              <w:right w:w="57" w:type="dxa"/>
            </w:tcMar>
            <w:vAlign w:val="center"/>
          </w:tcPr>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评标内容由技术标、商务标和综合标三部分组成。设定三部分不同的权重，经加权后，总分值为100分。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技术标、商务标、综合标权重应按下列比例选用：</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20%    70%   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998" w:hRule="atLeast"/>
          <w:jc w:val="center"/>
        </w:trPr>
        <w:tc>
          <w:tcPr>
            <w:tcW w:w="754"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3.2.2</w:t>
            </w:r>
          </w:p>
        </w:tc>
        <w:tc>
          <w:tcPr>
            <w:tcW w:w="854"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商务标</w:t>
            </w:r>
          </w:p>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评审</w:t>
            </w:r>
          </w:p>
          <w:p>
            <w:pPr>
              <w:numPr>
                <w:ilvl w:val="0"/>
                <w:numId w:val="0"/>
              </w:numPr>
              <w:autoSpaceDE/>
              <w:autoSpaceDN/>
              <w:snapToGrid w:val="0"/>
              <w:spacing w:before="0" w:after="200" w:line="240" w:lineRule="auto"/>
              <w:ind w:right="0" w:firstLine="0"/>
              <w:jc w:val="center"/>
              <w:rPr>
                <w:rFonts w:hint="default" w:ascii="仿宋" w:hAnsi="仿宋" w:eastAsia="仿宋"/>
                <w:color w:val="auto"/>
                <w:spacing w:val="20"/>
                <w:position w:val="0"/>
                <w:sz w:val="21"/>
                <w:szCs w:val="21"/>
              </w:rPr>
            </w:pPr>
            <w:r>
              <w:rPr>
                <w:rFonts w:hint="default" w:ascii="仿宋" w:hAnsi="仿宋" w:eastAsia="仿宋"/>
                <w:color w:val="auto"/>
                <w:spacing w:val="20"/>
                <w:position w:val="0"/>
                <w:sz w:val="21"/>
                <w:szCs w:val="21"/>
              </w:rPr>
              <w:t>（100分）</w:t>
            </w:r>
          </w:p>
        </w:tc>
        <w:tc>
          <w:tcPr>
            <w:tcW w:w="1266" w:type="dxa"/>
            <w:gridSpan w:val="2"/>
            <w:vMerge w:val="restart"/>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评标基准价</w:t>
            </w:r>
          </w:p>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计算方法</w:t>
            </w:r>
          </w:p>
        </w:tc>
        <w:tc>
          <w:tcPr>
            <w:tcW w:w="6860" w:type="dxa"/>
            <w:gridSpan w:val="2"/>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招标人将对本合同工程设置招标控制价，通过初步评审并经谈判后的报价为最终投标价。最终投标价超出招标控制价范围的，其投标文件作废标处理。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998" w:hRule="atLeast"/>
          <w:jc w:val="center"/>
        </w:trPr>
        <w:tc>
          <w:tcPr>
            <w:tcW w:w="754" w:type="dxa"/>
            <w:vMerge w:val="continue"/>
            <w:vAlign w:val="center"/>
          </w:tcPr>
          <w:p/>
        </w:tc>
        <w:tc>
          <w:tcPr>
            <w:tcW w:w="854" w:type="dxa"/>
            <w:vMerge w:val="continue"/>
            <w:vAlign w:val="center"/>
          </w:tcPr>
          <w:p/>
        </w:tc>
        <w:tc>
          <w:tcPr>
            <w:tcW w:w="1266" w:type="dxa"/>
            <w:gridSpan w:val="2"/>
            <w:vMerge w:val="continue"/>
            <w:vAlign w:val="center"/>
          </w:tcPr>
          <w:p/>
        </w:tc>
        <w:tc>
          <w:tcPr>
            <w:tcW w:w="6860" w:type="dxa"/>
            <w:gridSpan w:val="2"/>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评标基准价的计算：各有效投标的投标报价中（最终报价），去掉一个最高报价和一个最低报价后的算术平均值。若有效投标少于五家（不含五家），则以所有有效投标的投标报价的算术平均值为评标基准价。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39" w:hRule="atLeast"/>
          <w:jc w:val="center"/>
        </w:trPr>
        <w:tc>
          <w:tcPr>
            <w:tcW w:w="754" w:type="dxa"/>
            <w:vMerge w:val="continue"/>
            <w:vAlign w:val="center"/>
          </w:tcPr>
          <w:p/>
        </w:tc>
        <w:tc>
          <w:tcPr>
            <w:tcW w:w="854" w:type="dxa"/>
            <w:vMerge w:val="continue"/>
            <w:vAlign w:val="center"/>
          </w:tcPr>
          <w:p/>
        </w:tc>
        <w:tc>
          <w:tcPr>
            <w:tcW w:w="1266" w:type="dxa"/>
            <w:gridSpan w:val="2"/>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商务标的得分计算公式</w:t>
            </w:r>
          </w:p>
        </w:tc>
        <w:tc>
          <w:tcPr>
            <w:tcW w:w="6860" w:type="dxa"/>
            <w:gridSpan w:val="2"/>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商务标的得分为：</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（1）投标报价低于评标价的，每低于1.0%扣1分，最多扣20分；</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（2）投标报价高于评标价的，每高于1.0%扣2分，最多扣20分。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119" w:hRule="atLeast"/>
          <w:jc w:val="center"/>
        </w:trPr>
        <w:tc>
          <w:tcPr>
            <w:tcW w:w="754" w:type="dxa"/>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条款号</w:t>
            </w:r>
          </w:p>
        </w:tc>
        <w:tc>
          <w:tcPr>
            <w:tcW w:w="2120" w:type="dxa"/>
            <w:gridSpan w:val="3"/>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条款内容</w:t>
            </w:r>
          </w:p>
        </w:tc>
        <w:tc>
          <w:tcPr>
            <w:tcW w:w="6860" w:type="dxa"/>
            <w:gridSpan w:val="2"/>
            <w:vMerge w:val="restart"/>
            <w:vAlign w:val="top"/>
          </w:tcPr>
          <w:p>
            <w:pPr>
              <w:numPr>
                <w:ilvl w:val="0"/>
                <w:numId w:val="0"/>
              </w:numPr>
              <w:autoSpaceDE/>
              <w:autoSpaceDN/>
              <w:snapToGrid w:val="0"/>
              <w:spacing w:before="0" w:after="0" w:line="36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1、施工组织设计应包括以下几项基本内容：</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①主要施工方法                     16分；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②拟投入的主要物资计划              7分；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③拟投入的主要施工机械计划          7分；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④劳动力安排计划                    8分；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⑤确保工程质量的技术组织措施        8分；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⑥确保安全生产的技术组织措施        10分；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⑦确保工期的技术组织措施            8分；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⑧确保文明施工的技术组织措施        6分；</w:t>
            </w:r>
          </w:p>
          <w:p>
            <w:pPr>
              <w:numPr>
                <w:ilvl w:val="0"/>
                <w:numId w:val="0"/>
              </w:numPr>
              <w:autoSpaceDE/>
              <w:autoSpaceDN/>
              <w:snapToGrid w:val="0"/>
              <w:spacing w:before="0" w:after="0" w:line="36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⑨施工总进度表和施工网络图         10分；</w:t>
            </w:r>
          </w:p>
          <w:p>
            <w:pPr>
              <w:numPr>
                <w:ilvl w:val="0"/>
                <w:numId w:val="0"/>
              </w:numPr>
              <w:autoSpaceDE/>
              <w:autoSpaceDN/>
              <w:snapToGrid w:val="0"/>
              <w:spacing w:before="0" w:after="0" w:line="36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2、施工组织设计的针对性                12分；</w:t>
            </w:r>
          </w:p>
          <w:p>
            <w:pPr>
              <w:numPr>
                <w:ilvl w:val="0"/>
                <w:numId w:val="0"/>
              </w:numPr>
              <w:autoSpaceDE/>
              <w:autoSpaceDN/>
              <w:snapToGrid w:val="0"/>
              <w:spacing w:before="0" w:after="0" w:line="36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3、施工组织设计的完整性                 8分。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544" w:hRule="atLeast"/>
          <w:jc w:val="center"/>
        </w:trPr>
        <w:tc>
          <w:tcPr>
            <w:tcW w:w="754" w:type="dxa"/>
            <w:vMerge w:val="restart"/>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3.2.3</w:t>
            </w:r>
          </w:p>
        </w:tc>
        <w:tc>
          <w:tcPr>
            <w:tcW w:w="2120" w:type="dxa"/>
            <w:gridSpan w:val="3"/>
            <w:tcMar>
              <w:left w:w="57" w:type="dxa"/>
              <w:right w:w="57" w:type="dxa"/>
            </w:tcMar>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技术标评审</w:t>
            </w:r>
          </w:p>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（100分）</w:t>
            </w:r>
          </w:p>
        </w:tc>
        <w:tc>
          <w:tcPr>
            <w:tcW w:w="6860" w:type="dxa"/>
            <w:gridSpan w:val="2"/>
            <w:vMerge w:val="continue"/>
            <w:vAlign w:val="top"/>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136" w:hRule="exact"/>
          <w:jc w:val="center"/>
        </w:trPr>
        <w:tc>
          <w:tcPr>
            <w:tcW w:w="754" w:type="dxa"/>
            <w:vMerge w:val="continue"/>
            <w:vAlign w:val="center"/>
          </w:tcPr>
          <w:p/>
        </w:tc>
        <w:tc>
          <w:tcPr>
            <w:tcW w:w="8980" w:type="dxa"/>
            <w:gridSpan w:val="5"/>
            <w:tcMar>
              <w:left w:w="57" w:type="dxa"/>
              <w:right w:w="57" w:type="dxa"/>
            </w:tcMar>
            <w:vAlign w:val="center"/>
          </w:tcPr>
          <w:p>
            <w:pPr>
              <w:numPr>
                <w:ilvl w:val="0"/>
                <w:numId w:val="0"/>
              </w:numPr>
              <w:autoSpaceDE/>
              <w:autoSpaceDN/>
              <w:snapToGrid w:val="0"/>
              <w:spacing w:before="0" w:after="0" w:line="360" w:lineRule="auto"/>
              <w:ind w:right="0" w:firstLine="0"/>
              <w:jc w:val="both"/>
              <w:rPr>
                <w:rFonts w:hint="default" w:ascii="仿宋" w:hAnsi="仿宋" w:eastAsia="仿宋"/>
                <w:color w:val="auto"/>
                <w:position w:val="0"/>
                <w:sz w:val="21"/>
                <w:szCs w:val="21"/>
              </w:rPr>
            </w:pPr>
            <w:r>
              <w:rPr>
                <w:rFonts w:hint="default" w:ascii="仿宋" w:hAnsi="仿宋" w:eastAsia="仿宋"/>
                <w:color w:val="auto"/>
                <w:position w:val="0"/>
                <w:sz w:val="21"/>
                <w:szCs w:val="21"/>
              </w:rPr>
              <w:t>备注：1、如施工组织设计基本内容缺项，该项可打零分。</w:t>
            </w:r>
          </w:p>
          <w:p>
            <w:pPr>
              <w:numPr>
                <w:ilvl w:val="0"/>
                <w:numId w:val="0"/>
              </w:numPr>
              <w:autoSpaceDE/>
              <w:autoSpaceDN/>
              <w:snapToGrid w:val="0"/>
              <w:spacing w:before="0" w:after="0" w:line="360" w:lineRule="auto"/>
              <w:ind w:left="954" w:right="0" w:hanging="294"/>
              <w:jc w:val="both"/>
              <w:rPr>
                <w:rFonts w:hint="default" w:ascii="仿宋" w:hAnsi="仿宋" w:eastAsia="仿宋"/>
                <w:color w:val="auto"/>
                <w:position w:val="0"/>
                <w:sz w:val="21"/>
                <w:szCs w:val="21"/>
              </w:rPr>
            </w:pPr>
            <w:r>
              <w:rPr>
                <w:rFonts w:hint="default" w:ascii="仿宋" w:hAnsi="仿宋" w:eastAsia="仿宋"/>
                <w:color w:val="auto"/>
                <w:position w:val="0"/>
                <w:sz w:val="21"/>
                <w:szCs w:val="21"/>
              </w:rPr>
              <w:t>2、施工组织设计总分少于70分，视为技术标不合格，评标委员会应注明评分理由。多数评委认为技术标不合格的，则该投标文件作废标处理。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048" w:type="dxa"/>
            <w:gridSpan w:val="3"/>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条款号</w:t>
            </w:r>
          </w:p>
        </w:tc>
        <w:tc>
          <w:tcPr>
            <w:tcW w:w="2494" w:type="dxa"/>
            <w:gridSpan w:val="2"/>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评分因素</w:t>
            </w:r>
          </w:p>
        </w:tc>
        <w:tc>
          <w:tcPr>
            <w:tcW w:w="5192" w:type="dxa"/>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restart"/>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3.2.4</w:t>
            </w:r>
          </w:p>
        </w:tc>
        <w:tc>
          <w:tcPr>
            <w:tcW w:w="1294" w:type="dxa"/>
            <w:gridSpan w:val="2"/>
            <w:vMerge w:val="restart"/>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综合标评审（100分）</w:t>
            </w:r>
          </w:p>
        </w:tc>
        <w:tc>
          <w:tcPr>
            <w:tcW w:w="826" w:type="dxa"/>
            <w:vMerge w:val="restart"/>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项目班子配备60分</w:t>
            </w:r>
          </w:p>
        </w:tc>
        <w:tc>
          <w:tcPr>
            <w:tcW w:w="1668"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项目经理20分</w:t>
            </w: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项目经理资质等级满足招标文件要求，并明确只承担本工程的得20分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tc>
        <w:tc>
          <w:tcPr>
            <w:tcW w:w="1294" w:type="dxa"/>
            <w:gridSpan w:val="2"/>
            <w:vMerge w:val="continue"/>
            <w:vAlign w:val="center"/>
          </w:tcPr>
          <w:p/>
        </w:tc>
        <w:tc>
          <w:tcPr>
            <w:tcW w:w="826" w:type="dxa"/>
            <w:vMerge w:val="continue"/>
            <w:vAlign w:val="center"/>
          </w:tcPr>
          <w:p/>
        </w:tc>
        <w:tc>
          <w:tcPr>
            <w:tcW w:w="1668" w:type="dxa"/>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项目经理经验20分</w:t>
            </w: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项目经理简历表及项目经理近两年类似工程经历（附相关证明文件），酌情评分，该项最高得20分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tc>
        <w:tc>
          <w:tcPr>
            <w:tcW w:w="1294" w:type="dxa"/>
            <w:gridSpan w:val="2"/>
            <w:vMerge w:val="continue"/>
            <w:vAlign w:val="center"/>
          </w:tcPr>
          <w:p/>
        </w:tc>
        <w:tc>
          <w:tcPr>
            <w:tcW w:w="826" w:type="dxa"/>
            <w:vMerge w:val="continue"/>
            <w:vAlign w:val="center"/>
          </w:tcPr>
          <w:p/>
        </w:tc>
        <w:tc>
          <w:tcPr>
            <w:tcW w:w="1668" w:type="dxa"/>
            <w:tcBorders>
              <w:bottom w:val="single" w:color="auto" w:sz="4" w:space="0"/>
            </w:tcBorders>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项目工程师（现场项目技术负责人）资历20分</w:t>
            </w: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现场项目技术负责人简历表及近两年类似工程经历（附相关证明文件），酌情评分，该项最高得20分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tc>
        <w:tc>
          <w:tcPr>
            <w:tcW w:w="1294" w:type="dxa"/>
            <w:gridSpan w:val="2"/>
            <w:vMerge w:val="continue"/>
            <w:vAlign w:val="center"/>
          </w:tcPr>
          <w:p/>
        </w:tc>
        <w:tc>
          <w:tcPr>
            <w:tcW w:w="2494" w:type="dxa"/>
            <w:gridSpan w:val="2"/>
            <w:tcBorders>
              <w:top w:val="single" w:color="auto" w:sz="4" w:space="0"/>
            </w:tcBorders>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项目管理班子人员构成10分</w:t>
            </w: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机构健全、人员齐备、专业配套、具备相关岗位证书；主要技术、经济、管理人员素质高、业绩优，酌情评分，该项最高得10分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tc>
        <w:tc>
          <w:tcPr>
            <w:tcW w:w="1294" w:type="dxa"/>
            <w:gridSpan w:val="2"/>
            <w:vMerge w:val="continue"/>
            <w:vAlign w:val="center"/>
          </w:tcPr>
          <w:p/>
        </w:tc>
        <w:tc>
          <w:tcPr>
            <w:tcW w:w="2494" w:type="dxa"/>
            <w:gridSpan w:val="2"/>
            <w:vMerge w:val="restart"/>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投标工期10分</w:t>
            </w: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投标工期满足招标文件要求的得5分；不满足招标文件要求的，作废标处理。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tc>
        <w:tc>
          <w:tcPr>
            <w:tcW w:w="1294" w:type="dxa"/>
            <w:gridSpan w:val="2"/>
            <w:vMerge w:val="continue"/>
            <w:vAlign w:val="center"/>
          </w:tcPr>
          <w:p/>
        </w:tc>
        <w:tc>
          <w:tcPr>
            <w:tcW w:w="2494" w:type="dxa"/>
            <w:gridSpan w:val="2"/>
            <w:vMerge w:val="continue"/>
            <w:vAlign w:val="center"/>
          </w:tcP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对工期有承诺，有违约经济处罚措施，且合理可行，酌情评分，该项最高得5分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tc>
        <w:tc>
          <w:tcPr>
            <w:tcW w:w="1294" w:type="dxa"/>
            <w:gridSpan w:val="2"/>
            <w:vMerge w:val="continue"/>
            <w:vAlign w:val="center"/>
          </w:tcPr>
          <w:p/>
        </w:tc>
        <w:tc>
          <w:tcPr>
            <w:tcW w:w="2494" w:type="dxa"/>
            <w:gridSpan w:val="2"/>
            <w:vMerge w:val="restart"/>
            <w:vAlign w:val="center"/>
          </w:tcPr>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工程质量、文明施工、安全生产目标20分</w:t>
            </w: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工程质量、文明施工、安全生产管理目标满足招标文件要求的得10分，不满足招标文件要求的，作废标处理。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tc>
        <w:tc>
          <w:tcPr>
            <w:tcW w:w="1294" w:type="dxa"/>
            <w:gridSpan w:val="2"/>
            <w:vMerge w:val="continue"/>
            <w:vAlign w:val="center"/>
          </w:tcPr>
          <w:p/>
        </w:tc>
        <w:tc>
          <w:tcPr>
            <w:tcW w:w="2494" w:type="dxa"/>
            <w:gridSpan w:val="2"/>
            <w:vMerge w:val="continue"/>
            <w:vAlign w:val="center"/>
          </w:tcPr>
          <w:p/>
        </w:tc>
        <w:tc>
          <w:tcPr>
            <w:tcW w:w="5192" w:type="dxa"/>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对工程质量、文明施工、安全生产管理目标有承诺，有违约经济处罚措施，且合理可行，酌情评分，该项最高得10分。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048" w:type="dxa"/>
            <w:gridSpan w:val="3"/>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条款号</w:t>
            </w:r>
          </w:p>
        </w:tc>
        <w:tc>
          <w:tcPr>
            <w:tcW w:w="7686" w:type="dxa"/>
            <w:gridSpan w:val="3"/>
            <w:vAlign w:val="center"/>
          </w:tcPr>
          <w:p>
            <w:pPr>
              <w:numPr>
                <w:ilvl w:val="0"/>
                <w:numId w:val="0"/>
              </w:numPr>
              <w:autoSpaceDE/>
              <w:autoSpaceDN/>
              <w:snapToGrid w:val="0"/>
              <w:spacing w:before="0" w:after="200" w:line="240" w:lineRule="auto"/>
              <w:ind w:right="0" w:firstLine="0"/>
              <w:jc w:val="center"/>
              <w:rPr>
                <w:rFonts w:hint="default" w:ascii="仿宋" w:hAnsi="仿宋" w:eastAsia="仿宋"/>
                <w:b/>
                <w:color w:val="auto"/>
                <w:position w:val="0"/>
                <w:sz w:val="21"/>
                <w:szCs w:val="21"/>
              </w:rPr>
            </w:pPr>
            <w:r>
              <w:rPr>
                <w:rFonts w:hint="default" w:ascii="仿宋" w:hAnsi="仿宋" w:eastAsia="仿宋"/>
                <w:b/>
                <w:color w:val="auto"/>
                <w:position w:val="0"/>
                <w:sz w:val="21"/>
                <w:szCs w:val="21"/>
              </w:rPr>
              <w:t>编列内容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111" w:hRule="atLeast"/>
          <w:jc w:val="center"/>
        </w:trPr>
        <w:tc>
          <w:tcPr>
            <w:tcW w:w="754" w:type="dxa"/>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3.2.5</w:t>
            </w:r>
          </w:p>
        </w:tc>
        <w:tc>
          <w:tcPr>
            <w:tcW w:w="1294" w:type="dxa"/>
            <w:gridSpan w:val="2"/>
            <w:vAlign w:val="center"/>
          </w:tcPr>
          <w:p>
            <w:pPr>
              <w:numPr>
                <w:ilvl w:val="0"/>
                <w:numId w:val="0"/>
              </w:numPr>
              <w:autoSpaceDE/>
              <w:autoSpaceDN/>
              <w:snapToGrid w:val="0"/>
              <w:spacing w:before="0" w:after="200" w:line="24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计分办法</w:t>
            </w:r>
          </w:p>
        </w:tc>
        <w:tc>
          <w:tcPr>
            <w:tcW w:w="7686" w:type="dxa"/>
            <w:gridSpan w:val="3"/>
            <w:vAlign w:val="center"/>
          </w:tcPr>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1、评标委员会成员按照招标文件和本办法上述有关规定，给各投标文件评分，并按下列公式确定各投标人的评定分数：</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评定分数=技术标得分×技术标权重</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+商务标得分×商务标权重</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+综合标得分×综合标权重</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2、各投标人投标的最终得分为各评委所评定分数的算术平均值。</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3、各项统计、评分结果均按四舍五入方法精确到小数点后两位。</w:t>
            </w:r>
          </w:p>
          <w:p>
            <w:pPr>
              <w:numPr>
                <w:ilvl w:val="0"/>
                <w:numId w:val="0"/>
              </w:numPr>
              <w:autoSpaceDE/>
              <w:autoSpaceDN/>
              <w:snapToGrid w:val="0"/>
              <w:spacing w:before="0" w:after="200" w:line="240" w:lineRule="auto"/>
              <w:ind w:right="0" w:firstLine="420"/>
              <w:jc w:val="left"/>
              <w:rPr>
                <w:rFonts w:hint="default" w:ascii="仿宋" w:hAnsi="仿宋" w:eastAsia="仿宋"/>
                <w:color w:val="auto"/>
                <w:position w:val="0"/>
                <w:sz w:val="21"/>
                <w:szCs w:val="21"/>
              </w:rPr>
            </w:pPr>
            <w:r>
              <w:rPr>
                <w:rFonts w:hint="default" w:ascii="仿宋" w:hAnsi="仿宋" w:eastAsia="仿宋"/>
                <w:color w:val="auto"/>
                <w:position w:val="0"/>
                <w:sz w:val="21"/>
                <w:szCs w:val="21"/>
              </w:rPr>
              <w:t>4、评标委员会根据各投标人投标的最终评分，按高低次序确定投标人最终的排列名次，并按照招标文件中规定推荐两名有排序的合格的中标候选人。如果投标人的最终评分相同，则投标报价低的投标人排名优先。</w:t>
            </w:r>
          </w:p>
        </w:tc>
      </w:tr>
    </w:tbl>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1.评标方法</w:t>
      </w:r>
      <w:bookmarkEnd w:id="8"/>
      <w:bookmarkEnd w:id="9"/>
      <w:bookmarkEnd w:id="10"/>
      <w:r>
        <w:rPr>
          <w:rFonts w:hint="default" w:ascii="仿宋" w:hAnsi="仿宋" w:eastAsia="仿宋"/>
          <w:color w:val="auto"/>
          <w:position w:val="0"/>
          <w:sz w:val="24"/>
          <w:szCs w:val="24"/>
        </w:rPr>
        <w:t>（正文部分）</w:t>
      </w:r>
    </w:p>
    <w:p>
      <w:pPr>
        <w:numPr>
          <w:ilvl w:val="0"/>
          <w:numId w:val="0"/>
        </w:numPr>
        <w:tabs>
          <w:tab w:val="left" w:pos="832"/>
        </w:tabs>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根据《中华人民共和国招标投标法》、《湖北省招标投标综合管理办法》</w:t>
      </w:r>
      <w:r>
        <w:rPr>
          <w:rFonts w:hint="default" w:ascii="仿宋" w:hAnsi="Times New Roman" w:eastAsia="Times New Roman"/>
          <w:color w:val="auto"/>
          <w:position w:val="0"/>
          <w:sz w:val="24"/>
          <w:szCs w:val="24"/>
        </w:rPr>
        <w:t>，结合本工程实际情况，制定本办法。</w:t>
      </w:r>
    </w:p>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4"/>
          <w:szCs w:val="24"/>
        </w:rPr>
      </w:pPr>
      <w:bookmarkStart w:id="11" w:name="_Toc448855852"/>
      <w:bookmarkStart w:id="12" w:name="_Toc420778142"/>
      <w:bookmarkStart w:id="13" w:name="_Toc420764375"/>
      <w:r>
        <w:rPr>
          <w:rFonts w:hint="default" w:ascii="仿宋" w:hAnsi="仿宋" w:eastAsia="仿宋"/>
          <w:color w:val="auto"/>
          <w:position w:val="0"/>
          <w:sz w:val="24"/>
          <w:szCs w:val="24"/>
        </w:rPr>
        <w:t>1.1评标组织机构</w:t>
      </w:r>
      <w:bookmarkEnd w:id="11"/>
      <w:bookmarkEnd w:id="12"/>
      <w:bookmarkEnd w:id="13"/>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w:t>
      </w:r>
      <w:r>
        <w:rPr>
          <w:rFonts w:hint="default" w:ascii="仿宋" w:hAnsi="Times New Roman" w:eastAsia="Times New Roman"/>
          <w:color w:val="auto"/>
          <w:position w:val="0"/>
          <w:sz w:val="24"/>
          <w:szCs w:val="24"/>
        </w:rPr>
        <w:t>.</w:t>
      </w:r>
      <w:r>
        <w:rPr>
          <w:rFonts w:hint="default" w:ascii="仿宋" w:hAnsi="仿宋" w:eastAsia="仿宋"/>
          <w:color w:val="auto"/>
          <w:position w:val="0"/>
          <w:sz w:val="24"/>
          <w:szCs w:val="24"/>
        </w:rPr>
        <w:t>1.</w:t>
      </w:r>
      <w:r>
        <w:rPr>
          <w:rFonts w:hint="default" w:ascii="仿宋" w:hAnsi="Times New Roman" w:eastAsia="Times New Roman"/>
          <w:color w:val="auto"/>
          <w:position w:val="0"/>
          <w:sz w:val="24"/>
          <w:szCs w:val="24"/>
        </w:rPr>
        <w:t>1</w:t>
      </w:r>
      <w:r>
        <w:rPr>
          <w:rFonts w:hint="default" w:ascii="仿宋" w:hAnsi="仿宋" w:eastAsia="仿宋"/>
          <w:color w:val="auto"/>
          <w:position w:val="0"/>
          <w:sz w:val="24"/>
          <w:szCs w:val="24"/>
        </w:rPr>
        <w:t>本次评标由依法组建的</w:t>
      </w:r>
      <w:r>
        <w:rPr>
          <w:rFonts w:hint="default" w:ascii="仿宋" w:hAnsi="宋体" w:eastAsia="宋体"/>
          <w:color w:val="auto"/>
          <w:position w:val="0"/>
          <w:sz w:val="24"/>
          <w:szCs w:val="24"/>
        </w:rPr>
        <w:t>评标委员会成员人数为5人以上</w:t>
      </w:r>
      <w:r>
        <w:rPr>
          <w:rFonts w:hint="default" w:ascii="仿宋" w:hAnsi="仿宋" w:eastAsia="仿宋"/>
          <w:color w:val="auto"/>
          <w:position w:val="0"/>
          <w:sz w:val="24"/>
          <w:szCs w:val="24"/>
        </w:rPr>
        <w:t>（或5人）</w:t>
      </w:r>
      <w:r>
        <w:rPr>
          <w:rFonts w:hint="default" w:ascii="仿宋" w:hAnsi="宋体" w:eastAsia="宋体"/>
          <w:color w:val="auto"/>
          <w:position w:val="0"/>
          <w:sz w:val="24"/>
          <w:szCs w:val="24"/>
        </w:rPr>
        <w:t>的单数，</w:t>
      </w:r>
      <w:r>
        <w:rPr>
          <w:rFonts w:hint="default" w:ascii="仿宋" w:hAnsi="仿宋" w:eastAsia="仿宋"/>
          <w:color w:val="auto"/>
          <w:position w:val="0"/>
          <w:sz w:val="24"/>
          <w:szCs w:val="24"/>
        </w:rPr>
        <w:t>由内部资深工程管理人员和财务经济管理人员组成</w:t>
      </w:r>
      <w:r>
        <w:rPr>
          <w:rFonts w:hint="default" w:ascii="仿宋" w:hAnsi="宋体" w:eastAsia="宋体"/>
          <w:color w:val="auto"/>
          <w:position w:val="0"/>
          <w:sz w:val="24"/>
          <w:szCs w:val="24"/>
        </w:rPr>
        <w:t>。</w:t>
      </w:r>
    </w:p>
    <w:p>
      <w:pPr>
        <w:numPr>
          <w:ilvl w:val="0"/>
          <w:numId w:val="0"/>
        </w:numPr>
        <w:autoSpaceDE w:val="0"/>
        <w:autoSpaceDN w:val="0"/>
        <w:snapToGrid w:val="0"/>
        <w:spacing w:before="0" w:after="0" w:line="360" w:lineRule="auto"/>
        <w:ind w:right="-109" w:firstLine="480"/>
        <w:jc w:val="both"/>
        <w:rPr>
          <w:rFonts w:hint="default" w:ascii="仿宋" w:hAnsi="MingLiU" w:eastAsia="MingLiU"/>
          <w:color w:val="auto"/>
          <w:position w:val="0"/>
          <w:sz w:val="24"/>
          <w:szCs w:val="24"/>
        </w:rPr>
      </w:pPr>
      <w:r>
        <w:rPr>
          <w:rFonts w:hint="default" w:ascii="仿宋" w:hAnsi="仿宋" w:eastAsia="仿宋"/>
          <w:color w:val="auto"/>
          <w:position w:val="0"/>
          <w:sz w:val="24"/>
          <w:szCs w:val="24"/>
        </w:rPr>
        <w:t>1</w:t>
      </w:r>
      <w:r>
        <w:rPr>
          <w:rFonts w:hint="default" w:ascii="仿宋" w:hAnsi="Times New Roman" w:eastAsia="Times New Roman"/>
          <w:color w:val="auto"/>
          <w:position w:val="0"/>
          <w:sz w:val="24"/>
          <w:szCs w:val="24"/>
        </w:rPr>
        <w:t>.</w:t>
      </w:r>
      <w:r>
        <w:rPr>
          <w:rFonts w:hint="default" w:ascii="仿宋" w:hAnsi="仿宋" w:eastAsia="仿宋"/>
          <w:color w:val="auto"/>
          <w:position w:val="0"/>
          <w:sz w:val="24"/>
          <w:szCs w:val="24"/>
        </w:rPr>
        <w:t>1.2评标</w:t>
      </w:r>
      <w:r>
        <w:rPr>
          <w:rFonts w:hint="default" w:ascii="仿宋" w:hAnsi="仿宋" w:eastAsia="仿宋"/>
          <w:color w:val="auto"/>
          <w:spacing w:val="1"/>
          <w:position w:val="0"/>
          <w:sz w:val="24"/>
          <w:szCs w:val="24"/>
        </w:rPr>
        <w:t>委</w:t>
      </w:r>
      <w:r>
        <w:rPr>
          <w:rFonts w:hint="default" w:ascii="仿宋" w:hAnsi="仿宋" w:eastAsia="仿宋"/>
          <w:color w:val="auto"/>
          <w:position w:val="0"/>
          <w:sz w:val="24"/>
          <w:szCs w:val="24"/>
        </w:rPr>
        <w:t>员会按照</w:t>
      </w:r>
      <w:r>
        <w:rPr>
          <w:rFonts w:hint="default" w:ascii="仿宋" w:hAnsi="仿宋" w:eastAsia="仿宋"/>
          <w:color w:val="auto"/>
          <w:spacing w:val="1"/>
          <w:position w:val="0"/>
          <w:sz w:val="24"/>
          <w:szCs w:val="24"/>
        </w:rPr>
        <w:t>得分</w:t>
      </w:r>
      <w:r>
        <w:rPr>
          <w:rFonts w:hint="default" w:ascii="仿宋" w:hAnsi="仿宋" w:eastAsia="仿宋"/>
          <w:color w:val="auto"/>
          <w:position w:val="0"/>
          <w:sz w:val="24"/>
          <w:szCs w:val="24"/>
        </w:rPr>
        <w:t>由高到低的顺序推荐3名中标候选人。</w:t>
      </w:r>
    </w:p>
    <w:p>
      <w:pPr>
        <w:numPr>
          <w:ilvl w:val="0"/>
          <w:numId w:val="0"/>
        </w:numPr>
        <w:autoSpaceDE/>
        <w:autoSpaceDN/>
        <w:snapToGrid w:val="0"/>
        <w:spacing w:before="0" w:after="0" w:line="360" w:lineRule="auto"/>
        <w:ind w:right="0" w:firstLine="482"/>
        <w:jc w:val="both"/>
        <w:rPr>
          <w:rFonts w:hint="default" w:ascii="仿宋" w:hAnsi="宋体" w:eastAsia="宋体"/>
          <w:color w:val="auto"/>
          <w:position w:val="0"/>
          <w:sz w:val="24"/>
          <w:szCs w:val="24"/>
        </w:rPr>
      </w:pPr>
      <w:r>
        <w:rPr>
          <w:rFonts w:hint="default" w:ascii="仿宋" w:hAnsi="仿宋" w:eastAsia="仿宋"/>
          <w:color w:val="auto"/>
          <w:spacing w:val="1"/>
          <w:position w:val="0"/>
          <w:sz w:val="24"/>
          <w:szCs w:val="24"/>
        </w:rPr>
        <w:t>1.1.3</w:t>
      </w:r>
      <w:r>
        <w:rPr>
          <w:rFonts w:hint="default" w:ascii="仿宋" w:hAnsi="仿宋" w:eastAsia="仿宋"/>
          <w:color w:val="auto"/>
          <w:position w:val="0"/>
          <w:sz w:val="24"/>
          <w:szCs w:val="24"/>
        </w:rPr>
        <w:t>评标</w:t>
      </w:r>
      <w:r>
        <w:rPr>
          <w:rFonts w:hint="default" w:ascii="仿宋" w:hAnsi="仿宋" w:eastAsia="仿宋"/>
          <w:color w:val="auto"/>
          <w:spacing w:val="-1"/>
          <w:position w:val="0"/>
          <w:sz w:val="24"/>
          <w:szCs w:val="24"/>
        </w:rPr>
        <w:t>委</w:t>
      </w:r>
      <w:r>
        <w:rPr>
          <w:rFonts w:hint="default" w:ascii="仿宋" w:hAnsi="仿宋" w:eastAsia="仿宋"/>
          <w:color w:val="auto"/>
          <w:position w:val="0"/>
          <w:sz w:val="24"/>
          <w:szCs w:val="24"/>
        </w:rPr>
        <w:t>员会完成评标后，向招标人提交书面评标报告后自动解散。</w:t>
      </w:r>
    </w:p>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4"/>
          <w:szCs w:val="24"/>
        </w:rPr>
      </w:pPr>
      <w:bookmarkStart w:id="14" w:name="_Toc448855853"/>
      <w:bookmarkStart w:id="15" w:name="_Toc420764376"/>
      <w:bookmarkStart w:id="16" w:name="_Toc420778143"/>
      <w:r>
        <w:rPr>
          <w:rFonts w:hint="default" w:ascii="仿宋" w:hAnsi="仿宋" w:eastAsia="仿宋"/>
          <w:color w:val="auto"/>
          <w:position w:val="0"/>
          <w:sz w:val="24"/>
          <w:szCs w:val="24"/>
        </w:rPr>
        <w:t>1.2评标原则</w:t>
      </w:r>
      <w:bookmarkEnd w:id="14"/>
      <w:bookmarkEnd w:id="15"/>
      <w:bookmarkEnd w:id="16"/>
    </w:p>
    <w:p>
      <w:pPr>
        <w:numPr>
          <w:ilvl w:val="0"/>
          <w:numId w:val="0"/>
        </w:numPr>
        <w:tabs>
          <w:tab w:val="left" w:pos="416"/>
        </w:tabs>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(1)遵循公平、公正、科学、择优的原则。</w:t>
      </w:r>
    </w:p>
    <w:p>
      <w:pPr>
        <w:numPr>
          <w:ilvl w:val="0"/>
          <w:numId w:val="0"/>
        </w:numPr>
        <w:tabs>
          <w:tab w:val="left" w:pos="416"/>
        </w:tabs>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(2)依据：</w:t>
      </w:r>
    </w:p>
    <w:p>
      <w:pPr>
        <w:numPr>
          <w:ilvl w:val="0"/>
          <w:numId w:val="0"/>
        </w:numPr>
        <w:tabs>
          <w:tab w:val="left" w:pos="416"/>
        </w:tabs>
        <w:autoSpaceDE/>
        <w:autoSpaceDN/>
        <w:snapToGrid w:val="0"/>
        <w:spacing w:before="0" w:after="0" w:line="360" w:lineRule="auto"/>
        <w:ind w:right="0" w:firstLine="840"/>
        <w:jc w:val="both"/>
        <w:rPr>
          <w:rFonts w:hint="default" w:ascii="仿宋" w:hAnsi="Times New Roman" w:eastAsia="Times New Roman"/>
          <w:color w:val="auto"/>
          <w:position w:val="0"/>
          <w:sz w:val="24"/>
          <w:szCs w:val="24"/>
        </w:rPr>
      </w:pPr>
      <w:r>
        <w:rPr>
          <w:rFonts w:hint="default" w:ascii="仿宋" w:hAnsi="Times New Roman" w:eastAsia="Times New Roman"/>
          <w:color w:val="auto"/>
          <w:position w:val="0"/>
          <w:sz w:val="24"/>
          <w:szCs w:val="24"/>
        </w:rPr>
        <w:t>a</w:t>
      </w:r>
      <w:r>
        <w:rPr>
          <w:rFonts w:hint="default" w:ascii="仿宋" w:hAnsi="仿宋" w:eastAsia="仿宋"/>
          <w:color w:val="auto"/>
          <w:position w:val="0"/>
          <w:sz w:val="24"/>
          <w:szCs w:val="24"/>
        </w:rPr>
        <w:t>招标文件及招标人的补充通知；</w:t>
      </w:r>
    </w:p>
    <w:p>
      <w:pPr>
        <w:numPr>
          <w:ilvl w:val="0"/>
          <w:numId w:val="0"/>
        </w:numPr>
        <w:tabs>
          <w:tab w:val="left" w:pos="416"/>
        </w:tabs>
        <w:autoSpaceDE/>
        <w:autoSpaceDN/>
        <w:snapToGrid w:val="0"/>
        <w:spacing w:before="0" w:after="0" w:line="360" w:lineRule="auto"/>
        <w:ind w:right="0" w:firstLine="840"/>
        <w:jc w:val="both"/>
        <w:rPr>
          <w:rFonts w:hint="default" w:ascii="仿宋" w:hAnsi="Times New Roman" w:eastAsia="Times New Roman"/>
          <w:color w:val="auto"/>
          <w:position w:val="0"/>
          <w:sz w:val="24"/>
          <w:szCs w:val="24"/>
        </w:rPr>
      </w:pPr>
      <w:r>
        <w:rPr>
          <w:rFonts w:hint="default" w:ascii="仿宋" w:hAnsi="Times New Roman" w:eastAsia="Times New Roman"/>
          <w:color w:val="auto"/>
          <w:position w:val="0"/>
          <w:sz w:val="24"/>
          <w:szCs w:val="24"/>
        </w:rPr>
        <w:t>b</w:t>
      </w:r>
      <w:r>
        <w:rPr>
          <w:rFonts w:hint="default" w:ascii="仿宋" w:hAnsi="仿宋" w:eastAsia="仿宋"/>
          <w:color w:val="auto"/>
          <w:position w:val="0"/>
          <w:sz w:val="24"/>
          <w:szCs w:val="24"/>
        </w:rPr>
        <w:t>有效的投标文件及评标要求澄清的文件；</w:t>
      </w:r>
    </w:p>
    <w:p>
      <w:pPr>
        <w:numPr>
          <w:ilvl w:val="0"/>
          <w:numId w:val="0"/>
        </w:numPr>
        <w:autoSpaceDE/>
        <w:autoSpaceDN/>
        <w:snapToGrid w:val="0"/>
        <w:spacing w:before="0" w:after="200" w:line="240" w:lineRule="auto"/>
        <w:ind w:right="0" w:firstLine="0"/>
        <w:jc w:val="left"/>
        <w:rPr>
          <w:rFonts w:hint="default" w:ascii="仿宋" w:hAnsi="仿宋" w:eastAsia="仿宋"/>
          <w:color w:val="auto"/>
          <w:position w:val="0"/>
          <w:sz w:val="24"/>
          <w:szCs w:val="24"/>
        </w:rPr>
      </w:pPr>
      <w:bookmarkStart w:id="17" w:name="_Toc448855854"/>
      <w:bookmarkStart w:id="18" w:name="_Toc420778144"/>
      <w:bookmarkStart w:id="19" w:name="_Toc420764377"/>
      <w:r>
        <w:rPr>
          <w:rFonts w:hint="default" w:ascii="仿宋" w:hAnsi="仿宋" w:eastAsia="仿宋"/>
          <w:color w:val="auto"/>
          <w:position w:val="0"/>
          <w:sz w:val="24"/>
          <w:szCs w:val="24"/>
        </w:rPr>
        <w:t>1.3 评标程序</w:t>
      </w:r>
      <w:bookmarkEnd w:id="17"/>
      <w:bookmarkEnd w:id="18"/>
      <w:bookmarkEnd w:id="19"/>
    </w:p>
    <w:p>
      <w:pPr>
        <w:numPr>
          <w:ilvl w:val="0"/>
          <w:numId w:val="0"/>
        </w:numPr>
        <w:autoSpaceDE/>
        <w:autoSpaceDN/>
        <w:snapToGrid w:val="0"/>
        <w:spacing w:before="0" w:after="0" w:line="360" w:lineRule="auto"/>
        <w:ind w:left="1"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评标按两个阶段进行，即初步评审和详细评审。</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(一) 评标准备</w:t>
      </w:r>
    </w:p>
    <w:p>
      <w:pPr>
        <w:numPr>
          <w:ilvl w:val="0"/>
          <w:numId w:val="0"/>
        </w:numPr>
        <w:tabs>
          <w:tab w:val="left" w:pos="832"/>
        </w:tabs>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评标委员会成员研究招标文件，熟悉评标办法，掌握评标程序、标准和方法，编制供评标使用的相应表格。</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(二)</w:t>
      </w:r>
      <w:r>
        <w:rPr>
          <w:rFonts w:hint="default" w:ascii="仿宋" w:hAnsi="Times New Roman" w:eastAsia="Times New Roman"/>
          <w:color w:val="auto"/>
          <w:position w:val="0"/>
          <w:sz w:val="24"/>
          <w:szCs w:val="24"/>
        </w:rPr>
        <w:t xml:space="preserve"> </w:t>
      </w:r>
      <w:r>
        <w:rPr>
          <w:rFonts w:hint="default" w:ascii="仿宋" w:hAnsi="仿宋" w:eastAsia="仿宋"/>
          <w:color w:val="auto"/>
          <w:position w:val="0"/>
          <w:sz w:val="24"/>
          <w:szCs w:val="24"/>
        </w:rPr>
        <w:t>初步评审</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(1)</w:t>
      </w:r>
      <w:r>
        <w:rPr>
          <w:rFonts w:hint="default" w:ascii="仿宋" w:hAnsi="Times New Roman" w:eastAsia="Times New Roman"/>
          <w:b/>
          <w:color w:val="auto"/>
          <w:position w:val="0"/>
          <w:sz w:val="24"/>
          <w:szCs w:val="24"/>
        </w:rPr>
        <w:t>初审</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Times New Roman" w:eastAsia="Times New Roman"/>
          <w:color w:val="auto"/>
          <w:position w:val="0"/>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(2)投标文件响应性检查</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评标委员会应当审查每一投标文件是否对招标文件提出的所有要求和条件作出实质性响应。投标文件有重大偏差的，视为未能对招标文件作出实质性响应。</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所谓重大偏差是指下列情况之一：</w:t>
      </w:r>
    </w:p>
    <w:p>
      <w:pPr>
        <w:numPr>
          <w:ilvl w:val="0"/>
          <w:numId w:val="0"/>
        </w:numPr>
        <w:autoSpaceDE/>
        <w:autoSpaceDN/>
        <w:snapToGrid w:val="0"/>
        <w:spacing w:before="0" w:after="0" w:line="360" w:lineRule="auto"/>
        <w:ind w:left="416"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①对投标的工程范围和工作内容有实质性的偏离；</w:t>
      </w:r>
    </w:p>
    <w:p>
      <w:pPr>
        <w:numPr>
          <w:ilvl w:val="0"/>
          <w:numId w:val="0"/>
        </w:numPr>
        <w:autoSpaceDE/>
        <w:autoSpaceDN/>
        <w:snapToGrid w:val="0"/>
        <w:spacing w:before="0" w:after="0" w:line="360" w:lineRule="auto"/>
        <w:ind w:left="416"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②投标文件载明的招标项目完成期限超过招标文件规定的期限；</w:t>
      </w:r>
    </w:p>
    <w:p>
      <w:pPr>
        <w:numPr>
          <w:ilvl w:val="0"/>
          <w:numId w:val="0"/>
        </w:numPr>
        <w:autoSpaceDE/>
        <w:autoSpaceDN/>
        <w:snapToGrid w:val="0"/>
        <w:spacing w:before="0" w:after="0" w:line="360" w:lineRule="auto"/>
        <w:ind w:left="416"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③对工程质量或使用性能产生不利影响；</w:t>
      </w:r>
    </w:p>
    <w:p>
      <w:pPr>
        <w:numPr>
          <w:ilvl w:val="0"/>
          <w:numId w:val="0"/>
        </w:numPr>
        <w:autoSpaceDE/>
        <w:autoSpaceDN/>
        <w:snapToGrid w:val="0"/>
        <w:spacing w:before="0" w:after="0" w:line="360" w:lineRule="auto"/>
        <w:ind w:left="416"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④对合同中规定的双方的权利和义务作实质性修改；</w:t>
      </w:r>
    </w:p>
    <w:p>
      <w:pPr>
        <w:numPr>
          <w:ilvl w:val="0"/>
          <w:numId w:val="0"/>
        </w:numPr>
        <w:autoSpaceDE/>
        <w:autoSpaceDN/>
        <w:snapToGrid w:val="0"/>
        <w:spacing w:before="0" w:after="0" w:line="360" w:lineRule="auto"/>
        <w:ind w:left="416"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⑤投标文件附有招标人不能接受的条件；</w:t>
      </w:r>
    </w:p>
    <w:p>
      <w:pPr>
        <w:numPr>
          <w:ilvl w:val="0"/>
          <w:numId w:val="0"/>
        </w:numPr>
        <w:autoSpaceDE/>
        <w:autoSpaceDN/>
        <w:snapToGrid w:val="0"/>
        <w:spacing w:before="0" w:after="0" w:line="360" w:lineRule="auto"/>
        <w:ind w:left="416"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⑥不符合招标文件中规定的其它实质性要求。</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(3)无效投标文件</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发包人对有下列情况之一的投标文件，可以拒绝或按无效投标文件处理：</w:t>
      </w:r>
    </w:p>
    <w:p>
      <w:pPr>
        <w:numPr>
          <w:ilvl w:val="0"/>
          <w:numId w:val="0"/>
        </w:numPr>
        <w:tabs>
          <w:tab w:val="left" w:pos="1040"/>
          <w:tab w:val="left" w:pos="1440"/>
        </w:tabs>
        <w:autoSpaceDE/>
        <w:autoSpaceDN/>
        <w:snapToGrid w:val="0"/>
        <w:spacing w:before="0" w:after="0" w:line="360" w:lineRule="auto"/>
        <w:ind w:left="218"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①有本条(2)</w:t>
      </w:r>
      <w:r>
        <w:rPr>
          <w:rFonts w:hint="default" w:ascii="仿宋" w:hAnsi="Times New Roman" w:eastAsia="Times New Roman"/>
          <w:b/>
          <w:color w:val="auto"/>
          <w:position w:val="0"/>
          <w:sz w:val="24"/>
          <w:szCs w:val="24"/>
        </w:rPr>
        <w:t>款所列重大偏差或保留情况之一的；</w:t>
      </w:r>
    </w:p>
    <w:p>
      <w:pPr>
        <w:numPr>
          <w:ilvl w:val="0"/>
          <w:numId w:val="0"/>
        </w:numPr>
        <w:tabs>
          <w:tab w:val="left" w:pos="1440"/>
        </w:tabs>
        <w:autoSpaceDE/>
        <w:autoSpaceDN/>
        <w:snapToGrid w:val="0"/>
        <w:spacing w:before="0" w:after="0" w:line="360" w:lineRule="auto"/>
        <w:ind w:left="218"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②逾期送达的标书；</w:t>
      </w:r>
    </w:p>
    <w:p>
      <w:pPr>
        <w:numPr>
          <w:ilvl w:val="0"/>
          <w:numId w:val="0"/>
        </w:numPr>
        <w:tabs>
          <w:tab w:val="left" w:pos="1440"/>
        </w:tabs>
        <w:autoSpaceDE/>
        <w:autoSpaceDN/>
        <w:snapToGrid w:val="0"/>
        <w:spacing w:before="0" w:after="0" w:line="360" w:lineRule="auto"/>
        <w:ind w:left="218"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③无单位盖章并无法定代表人或法定代表人授权的代理人签字或盖章的；</w:t>
      </w:r>
    </w:p>
    <w:p>
      <w:pPr>
        <w:numPr>
          <w:ilvl w:val="0"/>
          <w:numId w:val="0"/>
        </w:numPr>
        <w:tabs>
          <w:tab w:val="left" w:pos="1440"/>
        </w:tabs>
        <w:autoSpaceDE/>
        <w:autoSpaceDN/>
        <w:snapToGrid w:val="0"/>
        <w:spacing w:before="0" w:after="0" w:line="360" w:lineRule="auto"/>
        <w:ind w:left="218"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④投标人的法定代表人或委托代理人不参加开标会议的；</w:t>
      </w:r>
    </w:p>
    <w:p>
      <w:pPr>
        <w:numPr>
          <w:ilvl w:val="0"/>
          <w:numId w:val="0"/>
        </w:numPr>
        <w:tabs>
          <w:tab w:val="left" w:pos="1440"/>
        </w:tabs>
        <w:autoSpaceDE/>
        <w:autoSpaceDN/>
        <w:snapToGrid w:val="0"/>
        <w:spacing w:before="0" w:after="0" w:line="360" w:lineRule="auto"/>
        <w:ind w:left="218"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⑤在评标过程中，评标委员会发现投标人以他人名义投标、串通投标、以行贿手段谋取中标或者以弄虚作假方式投标的；</w:t>
      </w:r>
    </w:p>
    <w:p>
      <w:pPr>
        <w:numPr>
          <w:ilvl w:val="0"/>
          <w:numId w:val="0"/>
        </w:numPr>
        <w:tabs>
          <w:tab w:val="left" w:pos="1440"/>
        </w:tabs>
        <w:autoSpaceDE/>
        <w:autoSpaceDN/>
        <w:snapToGrid w:val="0"/>
        <w:spacing w:before="0" w:after="0" w:line="360" w:lineRule="auto"/>
        <w:ind w:left="218"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⑥投标人递交两份或多份内容不同的投标文件，或在一份投标文件中对同一招标项目报有两个或多个报价，且未声明哪一个有效，按招标文件规定提交备选投标方案的除外；</w:t>
      </w:r>
    </w:p>
    <w:p>
      <w:pPr>
        <w:numPr>
          <w:ilvl w:val="0"/>
          <w:numId w:val="0"/>
        </w:numPr>
        <w:tabs>
          <w:tab w:val="left" w:pos="1440"/>
        </w:tabs>
        <w:autoSpaceDE/>
        <w:autoSpaceDN/>
        <w:snapToGrid w:val="0"/>
        <w:spacing w:before="0" w:after="0" w:line="360" w:lineRule="auto"/>
        <w:ind w:left="218"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⑦投标人资格条件不符合国家有关规定和招标文件的要求，或拒不按要求对投标文件进行澄清、说明或者补正的。</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(4)</w:t>
      </w:r>
      <w:r>
        <w:rPr>
          <w:rFonts w:hint="default" w:ascii="仿宋" w:hAnsi="Times New Roman" w:eastAsia="Times New Roman"/>
          <w:b/>
          <w:color w:val="auto"/>
          <w:position w:val="0"/>
          <w:sz w:val="24"/>
          <w:szCs w:val="24"/>
        </w:rPr>
        <w:t>投标文件的澄清</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(5)</w:t>
      </w:r>
      <w:r>
        <w:rPr>
          <w:rFonts w:hint="default" w:ascii="仿宋" w:hAnsi="Times New Roman" w:eastAsia="Times New Roman"/>
          <w:b/>
          <w:color w:val="auto"/>
          <w:position w:val="0"/>
          <w:sz w:val="24"/>
          <w:szCs w:val="24"/>
        </w:rPr>
        <w:t>算术错误的改正</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对实质上响应招标文件要求的投标文件，发包人将检查其报价是否有算术错误。对于算术错误，发包人有权要求投标人进行改正，改正错误的原则为：</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①《报价表》中任一项目的单价乘其工程量的乘积与该项目的合价不吻合时，应以单价为准，改正合价。但经发包人与投标人共同核对后认为单价有明显的小数点错位时，则应以合价为准，改正单价。</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③用数字表示的数额与用文字表示的数额不一致时，以文字数额为准。</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发包人将按上述规定的原则，要求投标人改正报价中的算术错误，改正后的投标报价汇总表须经发包人和投标人共同确认。</w:t>
      </w: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numPr>
          <w:ilvl w:val="0"/>
          <w:numId w:val="0"/>
        </w:numPr>
        <w:autoSpaceDE/>
        <w:autoSpaceDN/>
        <w:snapToGrid w:val="0"/>
        <w:spacing w:before="0" w:after="200" w:line="240" w:lineRule="auto"/>
        <w:ind w:right="0" w:firstLine="0"/>
        <w:jc w:val="left"/>
        <w:rPr>
          <w:rFonts w:hint="default" w:ascii="仿宋" w:hAnsi="Times New Roman" w:eastAsia="Times New Roman"/>
          <w:color w:val="auto"/>
          <w:position w:val="0"/>
          <w:sz w:val="24"/>
          <w:szCs w:val="24"/>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color w:val="auto"/>
          <w:position w:val="0"/>
          <w:sz w:val="28"/>
          <w:szCs w:val="28"/>
        </w:rPr>
      </w:pPr>
      <w:bookmarkStart w:id="20" w:name="_Toc504125542"/>
      <w:bookmarkStart w:id="21" w:name="_Toc485198638"/>
      <w:r>
        <w:rPr>
          <w:rFonts w:hint="default" w:ascii="宋体" w:hAnsi="Times New Roman" w:eastAsia="Times New Roman"/>
          <w:b/>
          <w:color w:val="auto"/>
          <w:position w:val="0"/>
          <w:sz w:val="28"/>
          <w:szCs w:val="28"/>
        </w:rPr>
        <w:t>第四章 合同条款及格式</w:t>
      </w:r>
      <w:bookmarkEnd w:id="20"/>
      <w:bookmarkEnd w:id="21"/>
    </w:p>
    <w:p>
      <w:pPr>
        <w:numPr>
          <w:ilvl w:val="0"/>
          <w:numId w:val="0"/>
        </w:numPr>
        <w:autoSpaceDE/>
        <w:autoSpaceDN/>
        <w:snapToGrid w:val="0"/>
        <w:spacing w:before="0" w:after="200" w:line="240" w:lineRule="auto"/>
        <w:ind w:right="0" w:firstLine="0"/>
        <w:jc w:val="center"/>
        <w:rPr>
          <w:rFonts w:hint="default" w:ascii="宋体" w:hAnsi="宋体" w:eastAsia="宋体"/>
          <w:color w:val="auto"/>
          <w:position w:val="0"/>
          <w:sz w:val="28"/>
          <w:szCs w:val="28"/>
        </w:rPr>
      </w:pPr>
      <w:bookmarkStart w:id="22" w:name="_Toc30700"/>
      <w:bookmarkStart w:id="23" w:name="_Toc467049282"/>
      <w:r>
        <w:rPr>
          <w:rFonts w:hint="default" w:ascii="宋体" w:hAnsi="Tahoma" w:eastAsia="Tahoma"/>
          <w:color w:val="auto"/>
          <w:position w:val="0"/>
          <w:sz w:val="28"/>
          <w:szCs w:val="28"/>
        </w:rPr>
        <w:t>第一节  合同条款</w:t>
      </w:r>
      <w:bookmarkEnd w:id="22"/>
      <w:bookmarkEnd w:id="23"/>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8"/>
          <w:szCs w:val="28"/>
        </w:rPr>
      </w:pPr>
    </w:p>
    <w:p>
      <w:pPr>
        <w:numPr>
          <w:ilvl w:val="0"/>
          <w:numId w:val="0"/>
        </w:numPr>
        <w:autoSpaceDE/>
        <w:autoSpaceDN/>
        <w:snapToGrid w:val="0"/>
        <w:spacing w:before="0" w:after="200" w:line="360" w:lineRule="auto"/>
        <w:ind w:right="0" w:firstLine="0"/>
        <w:jc w:val="both"/>
        <w:rPr>
          <w:rFonts w:hint="default" w:ascii="仿宋" w:hAnsi="宋体" w:eastAsia="宋体"/>
          <w:b/>
          <w:color w:val="000000"/>
          <w:position w:val="0"/>
          <w:sz w:val="24"/>
          <w:szCs w:val="24"/>
        </w:rPr>
      </w:pPr>
      <w:r>
        <w:rPr>
          <w:rFonts w:hint="default" w:ascii="宋体" w:hAnsi="Tahoma" w:eastAsia="Tahoma"/>
          <w:color w:val="auto"/>
          <w:position w:val="0"/>
          <w:sz w:val="28"/>
          <w:szCs w:val="28"/>
        </w:rPr>
        <w:t xml:space="preserve">   </w:t>
      </w:r>
      <w:r>
        <w:rPr>
          <w:rFonts w:hint="default" w:ascii="宋体" w:hAnsi="Tahoma" w:eastAsia="Tahoma"/>
          <w:color w:val="auto"/>
          <w:position w:val="0"/>
          <w:sz w:val="24"/>
          <w:szCs w:val="24"/>
        </w:rPr>
        <w:t xml:space="preserve"> </w:t>
      </w:r>
      <w:r>
        <w:rPr>
          <w:rFonts w:hint="default" w:ascii="仿宋" w:hAnsi="仿宋" w:eastAsia="仿宋"/>
          <w:color w:val="auto"/>
          <w:position w:val="0"/>
          <w:sz w:val="24"/>
          <w:szCs w:val="24"/>
        </w:rPr>
        <w:t>本《谈判文件》的“合同条款”， 采用住房和城乡建设部、国家工商行政管理总局制定的《建设项目工程总承包合同示范文本》（GF-2017-0201)。合同中涉及的具体要求以及其他规定，在不违背法律法规的前提下由中标人与招标人在签订合同时具体协商。</w:t>
      </w:r>
    </w:p>
    <w:p>
      <w:pPr>
        <w:numPr>
          <w:ilvl w:val="0"/>
          <w:numId w:val="0"/>
        </w:numPr>
        <w:autoSpaceDE/>
        <w:autoSpaceDN/>
        <w:snapToGrid w:val="0"/>
        <w:spacing w:before="0" w:after="200" w:line="240" w:lineRule="auto"/>
        <w:ind w:right="0" w:firstLine="0"/>
        <w:jc w:val="center"/>
        <w:rPr>
          <w:rFonts w:hint="default" w:ascii="Tahoma" w:hAnsi="华文中宋" w:eastAsia="华文中宋"/>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36"/>
          <w:szCs w:val="36"/>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36"/>
          <w:szCs w:val="36"/>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36"/>
          <w:szCs w:val="36"/>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36"/>
          <w:szCs w:val="36"/>
        </w:rPr>
      </w:pPr>
    </w:p>
    <w:p>
      <w:pPr>
        <w:numPr>
          <w:ilvl w:val="0"/>
          <w:numId w:val="0"/>
        </w:numPr>
        <w:autoSpaceDE/>
        <w:autoSpaceDN/>
        <w:snapToGrid w:val="0"/>
        <w:spacing w:before="0" w:after="200" w:line="240" w:lineRule="auto"/>
        <w:ind w:right="0" w:firstLine="0"/>
        <w:jc w:val="center"/>
        <w:rPr>
          <w:rFonts w:hint="default" w:ascii="楷体" w:hAnsi="楷体" w:eastAsia="楷体"/>
          <w:b/>
          <w:color w:val="000000"/>
          <w:position w:val="0"/>
          <w:sz w:val="36"/>
          <w:szCs w:val="36"/>
        </w:rPr>
      </w:pPr>
      <w:r>
        <w:rPr>
          <w:rFonts w:hint="default" w:ascii="楷体" w:hAnsi="楷体" w:eastAsia="楷体"/>
          <w:b/>
          <w:color w:val="000000"/>
          <w:position w:val="0"/>
          <w:sz w:val="36"/>
          <w:szCs w:val="36"/>
        </w:rPr>
        <w:t>建设工程施工合同</w:t>
      </w:r>
      <w:r>
        <w:rPr>
          <w:rFonts w:hint="default" w:ascii="楷体" w:hAnsi="楷体" w:eastAsia="楷体"/>
          <w:b/>
          <w:color w:val="000000"/>
          <w:position w:val="0"/>
          <w:sz w:val="36"/>
          <w:szCs w:val="36"/>
        </w:rPr>
        <w:br w:type="textWrapping"/>
      </w: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b/>
          <w:color w:val="000000"/>
          <w:position w:val="0"/>
          <w:sz w:val="28"/>
          <w:szCs w:val="28"/>
        </w:rPr>
      </w:pPr>
    </w:p>
    <w:p>
      <w:pPr>
        <w:numPr>
          <w:ilvl w:val="0"/>
          <w:numId w:val="0"/>
        </w:numPr>
        <w:autoSpaceDE/>
        <w:autoSpaceDN/>
        <w:snapToGrid w:val="0"/>
        <w:spacing w:before="0" w:after="200" w:line="240" w:lineRule="auto"/>
        <w:ind w:right="2849" w:firstLine="0"/>
        <w:jc w:val="left"/>
        <w:rPr>
          <w:rFonts w:hint="default" w:ascii="Tahoma" w:hAnsi="Tahoma" w:eastAsia="Tahoma"/>
          <w:b/>
          <w:color w:val="000000"/>
          <w:position w:val="0"/>
          <w:sz w:val="28"/>
          <w:szCs w:val="28"/>
        </w:rPr>
      </w:pPr>
      <w:r>
        <w:rPr>
          <w:sz w:val="20"/>
        </w:rPr>
        <mc:AlternateContent>
          <mc:Choice Requires="wps">
            <w:drawing>
              <wp:anchor distT="0" distB="0" distL="114300" distR="114300" simplePos="0" relativeHeight="251625472" behindDoc="0" locked="0" layoutInCell="1" allowOverlap="1">
                <wp:simplePos x="0" y="0"/>
                <wp:positionH relativeFrom="column">
                  <wp:posOffset>3975100</wp:posOffset>
                </wp:positionH>
                <wp:positionV relativeFrom="paragraph">
                  <wp:posOffset>114300</wp:posOffset>
                </wp:positionV>
                <wp:extent cx="723900" cy="4572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a:noFill/>
                        </a:ln>
                      </wps:spPr>
                      <wps:txbx>
                        <w:txbxContent>
                          <w:p>
                            <w:pPr>
                              <w:numPr>
                                <w:ilvl w:val="0"/>
                                <w:numId w:val="0"/>
                              </w:numPr>
                              <w:autoSpaceDE/>
                              <w:autoSpaceDN/>
                              <w:snapToGrid w:val="0"/>
                              <w:spacing w:before="0" w:after="200" w:line="240" w:lineRule="auto"/>
                              <w:ind w:right="0" w:firstLine="0"/>
                              <w:jc w:val="left"/>
                              <w:rPr>
                                <w:rFonts w:hint="default" w:ascii="Tahoma" w:hAnsi="Tahoma" w:eastAsia="Tahoma"/>
                                <w:b/>
                                <w:color w:val="auto"/>
                                <w:position w:val="0"/>
                                <w:sz w:val="32"/>
                                <w:szCs w:val="32"/>
                              </w:rPr>
                            </w:pPr>
                            <w:r>
                              <w:rPr>
                                <w:rFonts w:hint="default" w:ascii="Tahoma" w:hAnsi="Tahoma" w:eastAsia="Tahoma"/>
                                <w:b/>
                                <w:color w:val="auto"/>
                                <w:position w:val="0"/>
                                <w:sz w:val="32"/>
                                <w:szCs w:val="32"/>
                              </w:rPr>
                              <w:t>制定</w:t>
                            </w:r>
                          </w:p>
                        </w:txbxContent>
                      </wps:txbx>
                      <wps:bodyPr lIns="88900" tIns="50800" rIns="88900" bIns="50800" upright="1"/>
                    </wps:wsp>
                  </a:graphicData>
                </a:graphic>
              </wp:anchor>
            </w:drawing>
          </mc:Choice>
          <mc:Fallback>
            <w:pict>
              <v:shape id="文本框 2" o:spid="_x0000_s1026" o:spt="202" type="#_x0000_t202" style="position:absolute;left:0pt;margin-left:313pt;margin-top:9pt;height:36pt;width:57pt;z-index:251625472;mso-width-relative:page;mso-height-relative:page;" filled="f" stroked="f" coordsize="21600,21600" o:gfxdata="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2R6HvTAAAACQEA&#10;AA8AAAAAAAAAAQAgAAAAIgAAAGRycy9kb3ducmV2LnhtbFBLAQIUABQAAAAIAIdO4kA1kBN/rQEA&#10;ADwDAAAOAAAAAAAAAAEAIAAAACIBAABkcnMvZTJvRG9jLnhtbFBLBQYAAAAABgAGAFkBAABBBQAA&#10;AAA=&#10;">
                <v:fill on="f" focussize="0,0"/>
                <v:stroke on="f"/>
                <v:imagedata o:title=""/>
                <o:lock v:ext="edit" aspectratio="f"/>
                <v:textbox inset="7pt,4pt,7pt,4pt">
                  <w:txbxContent>
                    <w:p>
                      <w:pPr>
                        <w:numPr>
                          <w:ilvl w:val="0"/>
                          <w:numId w:val="0"/>
                        </w:numPr>
                        <w:autoSpaceDE/>
                        <w:autoSpaceDN/>
                        <w:snapToGrid w:val="0"/>
                        <w:spacing w:before="0" w:after="200" w:line="240" w:lineRule="auto"/>
                        <w:ind w:right="0" w:firstLine="0"/>
                        <w:jc w:val="left"/>
                        <w:rPr>
                          <w:rFonts w:hint="default" w:ascii="Tahoma" w:hAnsi="Tahoma" w:eastAsia="Tahoma"/>
                          <w:b/>
                          <w:color w:val="auto"/>
                          <w:position w:val="0"/>
                          <w:sz w:val="32"/>
                          <w:szCs w:val="32"/>
                        </w:rPr>
                      </w:pPr>
                      <w:r>
                        <w:rPr>
                          <w:rFonts w:hint="default" w:ascii="Tahoma" w:hAnsi="Tahoma" w:eastAsia="Tahoma"/>
                          <w:b/>
                          <w:color w:val="auto"/>
                          <w:position w:val="0"/>
                          <w:sz w:val="32"/>
                          <w:szCs w:val="32"/>
                        </w:rPr>
                        <w:t>制定</w:t>
                      </w:r>
                    </w:p>
                  </w:txbxContent>
                </v:textbox>
              </v:shape>
            </w:pict>
          </mc:Fallback>
        </mc:AlternateContent>
      </w:r>
      <w:r>
        <w:rPr>
          <w:rFonts w:hint="default" w:ascii="Tahoma" w:hAnsi="Tahoma" w:eastAsia="Tahoma"/>
          <w:b/>
          <w:color w:val="000000"/>
          <w:position w:val="0"/>
          <w:sz w:val="28"/>
          <w:szCs w:val="28"/>
        </w:rPr>
        <w:t xml:space="preserve">                          住  房  和  城  乡  建 设  部</w:t>
      </w:r>
    </w:p>
    <w:p>
      <w:pPr>
        <w:numPr>
          <w:ilvl w:val="0"/>
          <w:numId w:val="0"/>
        </w:numPr>
        <w:autoSpaceDE/>
        <w:autoSpaceDN/>
        <w:snapToGrid w:val="0"/>
        <w:spacing w:before="0" w:after="200" w:line="240" w:lineRule="auto"/>
        <w:ind w:right="2849" w:firstLine="0"/>
        <w:jc w:val="distribute"/>
        <w:rPr>
          <w:rFonts w:hint="default" w:ascii="Tahoma" w:hAnsi="Tahoma" w:eastAsia="Tahoma"/>
          <w:b/>
          <w:color w:val="000000"/>
          <w:position w:val="0"/>
          <w:sz w:val="28"/>
          <w:szCs w:val="28"/>
        </w:rPr>
      </w:pPr>
      <w:r>
        <w:rPr>
          <w:rFonts w:hint="default" w:ascii="Tahoma" w:hAnsi="Tahoma" w:eastAsia="Tahoma"/>
          <w:b/>
          <w:color w:val="000000"/>
          <w:position w:val="0"/>
          <w:sz w:val="28"/>
          <w:szCs w:val="28"/>
        </w:rPr>
        <w:t xml:space="preserve">                         国家工商行政管理总局</w:t>
      </w:r>
    </w:p>
    <w:p>
      <w:pPr>
        <w:numPr>
          <w:ilvl w:val="0"/>
          <w:numId w:val="0"/>
        </w:numPr>
        <w:autoSpaceDE/>
        <w:autoSpaceDN/>
        <w:snapToGrid w:val="0"/>
        <w:spacing w:before="0" w:after="200" w:line="240" w:lineRule="auto"/>
        <w:ind w:right="0" w:firstLine="0"/>
        <w:jc w:val="left"/>
        <w:rPr>
          <w:rFonts w:hint="default" w:ascii="Tahoma" w:hAnsi="仿宋_GB2312" w:eastAsia="仿宋_GB2312"/>
          <w:color w:val="auto"/>
          <w:position w:val="0"/>
          <w:sz w:val="28"/>
          <w:szCs w:val="28"/>
        </w:rPr>
        <w:sectPr>
          <w:footerReference r:id="rId4" w:type="first"/>
          <w:footerReference r:id="rId3" w:type="default"/>
          <w:pgSz w:w="11906" w:h="16838"/>
          <w:pgMar w:top="1418" w:right="1555" w:bottom="1418" w:left="1531" w:header="851" w:footer="992" w:gutter="0"/>
          <w:pgNumType w:fmt="decimal" w:start="1"/>
          <w:docGrid w:type="lines" w:linePitch="312" w:charSpace="0"/>
        </w:sectPr>
      </w:pPr>
      <w:bookmarkStart w:id="24" w:name="_Toc351203480"/>
      <w:bookmarkStart w:id="25" w:name="_Toc296890982"/>
      <w:bookmarkStart w:id="26" w:name="_Toc296503025"/>
    </w:p>
    <w:p>
      <w:pPr>
        <w:numPr>
          <w:ilvl w:val="0"/>
          <w:numId w:val="0"/>
        </w:numPr>
        <w:autoSpaceDE/>
        <w:autoSpaceDN/>
        <w:snapToGrid w:val="0"/>
        <w:spacing w:before="0" w:after="200" w:line="240" w:lineRule="auto"/>
        <w:ind w:right="0" w:firstLine="0"/>
        <w:jc w:val="center"/>
        <w:rPr>
          <w:rFonts w:hint="default" w:ascii="宋体" w:hAnsi="宋体" w:eastAsia="宋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宋体" w:hAnsi="宋体" w:eastAsia="宋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宋体" w:hAnsi="宋体" w:eastAsia="宋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宋体" w:hAnsi="宋体" w:eastAsia="宋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宋体" w:hAnsi="宋体" w:eastAsia="宋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宋体" w:hAnsi="宋体" w:eastAsia="宋体"/>
          <w:b/>
          <w:color w:val="000000"/>
          <w:position w:val="0"/>
          <w:sz w:val="28"/>
          <w:szCs w:val="28"/>
        </w:rPr>
      </w:pPr>
    </w:p>
    <w:p>
      <w:pPr>
        <w:numPr>
          <w:ilvl w:val="0"/>
          <w:numId w:val="0"/>
        </w:numPr>
        <w:autoSpaceDE/>
        <w:autoSpaceDN/>
        <w:snapToGrid w:val="0"/>
        <w:spacing w:before="0" w:after="200" w:line="240" w:lineRule="auto"/>
        <w:ind w:right="0" w:firstLine="0"/>
        <w:jc w:val="center"/>
        <w:rPr>
          <w:rFonts w:hint="default" w:ascii="宋体" w:hAnsi="宋体" w:eastAsia="宋体"/>
          <w:b/>
          <w:color w:val="000000"/>
          <w:position w:val="0"/>
          <w:sz w:val="28"/>
          <w:szCs w:val="28"/>
        </w:rPr>
      </w:pPr>
      <w:bookmarkStart w:id="27" w:name="_Toc467049283"/>
      <w:bookmarkStart w:id="28" w:name="_Toc29956"/>
      <w:r>
        <w:rPr>
          <w:rFonts w:hint="default" w:ascii="宋体" w:hAnsi="宋体" w:eastAsia="宋体"/>
          <w:color w:val="auto"/>
          <w:position w:val="0"/>
          <w:sz w:val="28"/>
          <w:szCs w:val="28"/>
        </w:rPr>
        <w:t>第一部分 合同协议书</w:t>
      </w:r>
      <w:bookmarkEnd w:id="24"/>
      <w:bookmarkEnd w:id="25"/>
      <w:bookmarkEnd w:id="26"/>
      <w:bookmarkEnd w:id="27"/>
      <w:bookmarkEnd w:id="28"/>
    </w:p>
    <w:p>
      <w:pPr>
        <w:numPr>
          <w:ilvl w:val="0"/>
          <w:numId w:val="0"/>
        </w:numPr>
        <w:autoSpaceDE/>
        <w:autoSpaceDN/>
        <w:snapToGrid w:val="0"/>
        <w:spacing w:before="0" w:after="0" w:line="360" w:lineRule="auto"/>
        <w:ind w:right="0" w:firstLine="0"/>
        <w:jc w:val="both"/>
        <w:rPr>
          <w:rFonts w:hint="default" w:ascii="仿宋" w:hAnsi="宋体" w:eastAsia="宋体"/>
          <w:b/>
          <w:color w:val="000000"/>
          <w:position w:val="0"/>
          <w:sz w:val="24"/>
          <w:szCs w:val="24"/>
          <w:u w:val="single"/>
        </w:rPr>
      </w:pPr>
      <w:r>
        <w:rPr>
          <w:rFonts w:hint="default" w:ascii="仿宋" w:hAnsi="仿宋" w:eastAsia="仿宋"/>
          <w:b/>
          <w:color w:val="000000"/>
          <w:position w:val="0"/>
          <w:sz w:val="24"/>
          <w:szCs w:val="24"/>
        </w:rPr>
        <w:t>发包人（全称）：</w:t>
      </w:r>
      <w:r>
        <w:rPr>
          <w:rFonts w:hint="default" w:ascii="仿宋" w:hAnsi="仿宋" w:eastAsia="仿宋"/>
          <w:b/>
          <w:color w:val="000000"/>
          <w:position w:val="0"/>
          <w:sz w:val="24"/>
          <w:szCs w:val="24"/>
          <w:u w:val="single"/>
        </w:rPr>
        <w:t>                             </w:t>
      </w:r>
    </w:p>
    <w:p>
      <w:pPr>
        <w:numPr>
          <w:ilvl w:val="0"/>
          <w:numId w:val="0"/>
        </w:numPr>
        <w:autoSpaceDE/>
        <w:autoSpaceDN/>
        <w:snapToGrid w:val="0"/>
        <w:spacing w:before="0" w:after="0" w:line="360" w:lineRule="auto"/>
        <w:ind w:right="0" w:firstLine="0"/>
        <w:jc w:val="both"/>
        <w:rPr>
          <w:rFonts w:hint="default" w:ascii="仿宋" w:hAnsi="宋体" w:eastAsia="宋体"/>
          <w:b/>
          <w:color w:val="000000"/>
          <w:position w:val="0"/>
          <w:sz w:val="24"/>
          <w:szCs w:val="24"/>
          <w:u w:val="single"/>
        </w:rPr>
      </w:pPr>
      <w:r>
        <w:rPr>
          <w:rFonts w:hint="default" w:ascii="仿宋" w:hAnsi="仿宋" w:eastAsia="仿宋"/>
          <w:b/>
          <w:color w:val="000000"/>
          <w:position w:val="0"/>
          <w:sz w:val="24"/>
          <w:szCs w:val="24"/>
        </w:rPr>
        <w:t>承包人（全称）：</w:t>
      </w:r>
      <w:r>
        <w:rPr>
          <w:rFonts w:hint="default" w:ascii="仿宋" w:hAnsi="仿宋" w:eastAsia="仿宋"/>
          <w:b/>
          <w:color w:val="000000"/>
          <w:position w:val="0"/>
          <w:sz w:val="24"/>
          <w:szCs w:val="24"/>
          <w:u w:val="single"/>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根据《中华人民共和国合同法》、《中华人民共和国建筑法》及有关法律规定，遵循平等、自愿、公平和诚实信用的原则，双方就</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工程施工及有关事项协商一致，共同达成如下协议：</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29" w:name="_Toc351203481"/>
      <w:r>
        <w:rPr>
          <w:rFonts w:hint="default" w:ascii="仿宋" w:hAnsi="仿宋" w:eastAsia="仿宋"/>
          <w:color w:val="000000"/>
          <w:position w:val="0"/>
          <w:sz w:val="24"/>
          <w:szCs w:val="24"/>
        </w:rPr>
        <w:t>一、工程概况</w:t>
      </w:r>
      <w:bookmarkEnd w:id="29"/>
    </w:p>
    <w:p>
      <w:pPr>
        <w:numPr>
          <w:ilvl w:val="0"/>
          <w:numId w:val="0"/>
        </w:numPr>
        <w:autoSpaceDE/>
        <w:autoSpaceDN/>
        <w:snapToGrid w:val="0"/>
        <w:spacing w:before="0" w:after="0" w:line="360" w:lineRule="auto"/>
        <w:ind w:right="0" w:firstLine="47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1.工程名称：</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7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2.工程地点：</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7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3.工程立项批准文号：</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7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4.资金来源：</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7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5.工程内容：</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7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群体工程应附《承包人承揽工程项目一览表》（附件1）。</w:t>
      </w:r>
    </w:p>
    <w:p>
      <w:pPr>
        <w:numPr>
          <w:ilvl w:val="0"/>
          <w:numId w:val="0"/>
        </w:numPr>
        <w:autoSpaceDE/>
        <w:autoSpaceDN/>
        <w:snapToGrid w:val="0"/>
        <w:spacing w:before="0" w:after="0" w:line="360" w:lineRule="auto"/>
        <w:ind w:right="0" w:firstLine="47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6.工程承包范围：</w:t>
      </w:r>
    </w:p>
    <w:p>
      <w:pPr>
        <w:numPr>
          <w:ilvl w:val="0"/>
          <w:numId w:val="0"/>
        </w:numPr>
        <w:autoSpaceDE/>
        <w:autoSpaceDN/>
        <w:snapToGrid w:val="0"/>
        <w:spacing w:before="0" w:after="0" w:line="360" w:lineRule="auto"/>
        <w:ind w:right="0" w:firstLine="463"/>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r>
        <w:rPr>
          <w:rFonts w:hint="default" w:ascii="仿宋" w:hAnsi="仿宋" w:eastAsia="仿宋"/>
          <w:color w:val="000000"/>
          <w:position w:val="0"/>
          <w:sz w:val="24"/>
          <w:szCs w:val="24"/>
        </w:rPr>
        <w:t xml:space="preserve">   </w:t>
      </w:r>
      <w:bookmarkStart w:id="30" w:name="_Toc351203482"/>
      <w:r>
        <w:rPr>
          <w:rFonts w:hint="default" w:ascii="仿宋" w:hAnsi="仿宋" w:eastAsia="仿宋"/>
          <w:color w:val="000000"/>
          <w:position w:val="0"/>
          <w:sz w:val="24"/>
          <w:szCs w:val="24"/>
        </w:rPr>
        <w:t>二、合同工期</w:t>
      </w:r>
      <w:bookmarkEnd w:id="30"/>
    </w:p>
    <w:p>
      <w:pPr>
        <w:numPr>
          <w:ilvl w:val="0"/>
          <w:numId w:val="0"/>
        </w:numPr>
        <w:autoSpaceDE/>
        <w:autoSpaceDN/>
        <w:snapToGrid w:val="0"/>
        <w:spacing w:before="0" w:after="0" w:line="360" w:lineRule="auto"/>
        <w:ind w:right="0" w:firstLine="459"/>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计划开工日期：</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年</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月</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日。</w:t>
      </w:r>
    </w:p>
    <w:p>
      <w:pPr>
        <w:numPr>
          <w:ilvl w:val="0"/>
          <w:numId w:val="0"/>
        </w:numPr>
        <w:autoSpaceDE/>
        <w:autoSpaceDN/>
        <w:snapToGrid w:val="0"/>
        <w:spacing w:before="0" w:after="0" w:line="360" w:lineRule="auto"/>
        <w:ind w:right="0" w:firstLine="459"/>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计划竣工日期：</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年</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月</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日。</w:t>
      </w:r>
    </w:p>
    <w:p>
      <w:pPr>
        <w:numPr>
          <w:ilvl w:val="0"/>
          <w:numId w:val="0"/>
        </w:numPr>
        <w:autoSpaceDE/>
        <w:autoSpaceDN/>
        <w:snapToGrid w:val="0"/>
        <w:spacing w:before="0" w:after="0" w:line="360" w:lineRule="auto"/>
        <w:ind w:right="0" w:firstLine="459"/>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工期总日历天数：</w:t>
      </w:r>
      <w:r>
        <w:rPr>
          <w:rFonts w:hint="default" w:ascii="仿宋" w:hAnsi="仿宋" w:eastAsia="仿宋"/>
          <w:color w:val="000000"/>
          <w:position w:val="0"/>
          <w:sz w:val="24"/>
          <w:szCs w:val="24"/>
          <w:u w:val="single"/>
        </w:rPr>
        <w:t>30</w:t>
      </w:r>
      <w:r>
        <w:rPr>
          <w:rFonts w:hint="default" w:ascii="仿宋" w:hAnsi="仿宋" w:eastAsia="仿宋"/>
          <w:color w:val="000000"/>
          <w:position w:val="0"/>
          <w:sz w:val="24"/>
          <w:szCs w:val="24"/>
        </w:rPr>
        <w:t>天。工期总日历天数与根据前述计划开竣工日期计算的工期天数不一致的，以工期总日历天数为准。</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31" w:name="_Toc351203483"/>
      <w:r>
        <w:rPr>
          <w:rFonts w:hint="default" w:ascii="仿宋" w:hAnsi="仿宋" w:eastAsia="仿宋"/>
          <w:color w:val="000000"/>
          <w:position w:val="0"/>
          <w:sz w:val="24"/>
          <w:szCs w:val="24"/>
        </w:rPr>
        <w:t>三、质量标准</w:t>
      </w:r>
      <w:bookmarkEnd w:id="31"/>
    </w:p>
    <w:p>
      <w:pPr>
        <w:numPr>
          <w:ilvl w:val="0"/>
          <w:numId w:val="0"/>
        </w:numPr>
        <w:autoSpaceDE/>
        <w:autoSpaceDN/>
        <w:snapToGrid w:val="0"/>
        <w:spacing w:before="0" w:after="0" w:line="360" w:lineRule="auto"/>
        <w:ind w:right="0" w:firstLine="459"/>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工程质量符合</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标准。</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32" w:name="_Toc351203484"/>
      <w:r>
        <w:rPr>
          <w:rFonts w:hint="default" w:ascii="仿宋" w:hAnsi="仿宋" w:eastAsia="仿宋"/>
          <w:color w:val="000000"/>
          <w:position w:val="0"/>
          <w:sz w:val="24"/>
          <w:szCs w:val="24"/>
        </w:rPr>
        <w:t>四、签约合同价与合同价格形式</w:t>
      </w:r>
      <w:bookmarkEnd w:id="32"/>
      <w:r>
        <w:rPr>
          <w:rFonts w:hint="default" w:ascii="仿宋" w:hAnsi="仿宋" w:eastAsia="仿宋"/>
          <w:color w:val="000000"/>
          <w:position w:val="0"/>
          <w:sz w:val="24"/>
          <w:szCs w:val="24"/>
        </w:rPr>
        <w:tab/>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1.签约合同价为：</w:t>
      </w:r>
    </w:p>
    <w:p>
      <w:pPr>
        <w:numPr>
          <w:ilvl w:val="0"/>
          <w:numId w:val="0"/>
        </w:numPr>
        <w:autoSpaceDE/>
        <w:autoSpaceDN/>
        <w:snapToGrid w:val="0"/>
        <w:spacing w:before="0" w:after="0" w:line="360" w:lineRule="auto"/>
        <w:ind w:right="0" w:firstLine="60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人民币（大写）</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r>
        <w:rPr>
          <w:rFonts w:hint="default" w:ascii="宋体" w:hAnsi="仿宋" w:eastAsia="仿宋"/>
          <w:color w:val="000000"/>
          <w:position w:val="0"/>
          <w:sz w:val="24"/>
          <w:szCs w:val="24"/>
        </w:rPr>
        <w:t>¥</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元)；</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其中：</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（1）安全文明施工费：</w:t>
      </w:r>
    </w:p>
    <w:p>
      <w:pPr>
        <w:numPr>
          <w:ilvl w:val="0"/>
          <w:numId w:val="0"/>
        </w:numPr>
        <w:autoSpaceDE/>
        <w:autoSpaceDN/>
        <w:snapToGrid w:val="0"/>
        <w:spacing w:before="0" w:after="0" w:line="360" w:lineRule="auto"/>
        <w:ind w:right="0" w:firstLine="10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人民币（大写）</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r>
        <w:rPr>
          <w:rFonts w:hint="default" w:ascii="宋体" w:hAnsi="仿宋" w:eastAsia="仿宋"/>
          <w:color w:val="000000"/>
          <w:position w:val="0"/>
          <w:sz w:val="24"/>
          <w:szCs w:val="24"/>
        </w:rPr>
        <w:t>¥</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元)；</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（2）材料和工程设备暂估价金额：</w:t>
      </w:r>
    </w:p>
    <w:p>
      <w:pPr>
        <w:numPr>
          <w:ilvl w:val="0"/>
          <w:numId w:val="0"/>
        </w:numPr>
        <w:autoSpaceDE/>
        <w:autoSpaceDN/>
        <w:snapToGrid w:val="0"/>
        <w:spacing w:before="0" w:after="0" w:line="360" w:lineRule="auto"/>
        <w:ind w:right="0" w:firstLine="10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人民币（大写）</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r>
        <w:rPr>
          <w:rFonts w:hint="default" w:ascii="宋体" w:hAnsi="仿宋" w:eastAsia="仿宋"/>
          <w:color w:val="000000"/>
          <w:position w:val="0"/>
          <w:sz w:val="24"/>
          <w:szCs w:val="24"/>
        </w:rPr>
        <w:t>¥</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元)；</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（3）专业工程暂估价金额：</w:t>
      </w:r>
    </w:p>
    <w:p>
      <w:pPr>
        <w:numPr>
          <w:ilvl w:val="0"/>
          <w:numId w:val="0"/>
        </w:numPr>
        <w:autoSpaceDE/>
        <w:autoSpaceDN/>
        <w:snapToGrid w:val="0"/>
        <w:spacing w:before="0" w:after="0" w:line="360" w:lineRule="auto"/>
        <w:ind w:right="0" w:firstLine="10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人民币（大写）</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r>
        <w:rPr>
          <w:rFonts w:hint="default" w:ascii="宋体" w:hAnsi="仿宋" w:eastAsia="仿宋"/>
          <w:color w:val="000000"/>
          <w:position w:val="0"/>
          <w:sz w:val="24"/>
          <w:szCs w:val="24"/>
        </w:rPr>
        <w:t>¥</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元)；</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（4）暂列金额：</w:t>
      </w:r>
    </w:p>
    <w:p>
      <w:pPr>
        <w:numPr>
          <w:ilvl w:val="0"/>
          <w:numId w:val="0"/>
        </w:numPr>
        <w:autoSpaceDE/>
        <w:autoSpaceDN/>
        <w:snapToGrid w:val="0"/>
        <w:spacing w:before="0" w:after="0" w:line="360" w:lineRule="auto"/>
        <w:ind w:right="0" w:firstLine="10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人民币（大写）</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r>
        <w:rPr>
          <w:rFonts w:hint="default" w:ascii="宋体" w:hAnsi="仿宋" w:eastAsia="仿宋"/>
          <w:color w:val="000000"/>
          <w:position w:val="0"/>
          <w:sz w:val="24"/>
          <w:szCs w:val="24"/>
        </w:rPr>
        <w:t>¥</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元)。</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2.合同价格形式：</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r>
        <w:rPr>
          <w:rFonts w:hint="default" w:ascii="仿宋" w:hAnsi="仿宋" w:eastAsia="仿宋"/>
          <w:color w:val="000000"/>
          <w:position w:val="0"/>
          <w:sz w:val="24"/>
          <w:szCs w:val="24"/>
        </w:rPr>
        <w:t xml:space="preserve">    </w:t>
      </w:r>
      <w:bookmarkStart w:id="33" w:name="_Toc351203485"/>
      <w:r>
        <w:rPr>
          <w:rFonts w:hint="default" w:ascii="仿宋" w:hAnsi="仿宋" w:eastAsia="仿宋"/>
          <w:color w:val="000000"/>
          <w:position w:val="0"/>
          <w:sz w:val="24"/>
          <w:szCs w:val="24"/>
        </w:rPr>
        <w:t>五、</w:t>
      </w:r>
      <w:bookmarkEnd w:id="33"/>
      <w:r>
        <w:rPr>
          <w:rFonts w:hint="default" w:ascii="仿宋" w:hAnsi="仿宋" w:eastAsia="仿宋"/>
          <w:color w:val="000000"/>
          <w:position w:val="0"/>
          <w:sz w:val="24"/>
          <w:szCs w:val="24"/>
        </w:rPr>
        <w:t>项目经理</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承包人项目经理：</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34" w:name="_Toc351203486"/>
      <w:r>
        <w:rPr>
          <w:rFonts w:hint="default" w:ascii="仿宋" w:hAnsi="仿宋" w:eastAsia="仿宋"/>
          <w:color w:val="000000"/>
          <w:position w:val="0"/>
          <w:sz w:val="24"/>
          <w:szCs w:val="24"/>
        </w:rPr>
        <w:t>六、合同文件构成</w:t>
      </w:r>
      <w:bookmarkEnd w:id="34"/>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本协议书与下列文件一起构成合同文件：</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（1）中标通知书（如果有）；</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（2）投标函及其附录（如果有）； </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（3）专用合同条款及其附件；</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（4）通用合同条款；</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（5）技术标准和要求；</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（6）图纸；</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（7）已标价工程量清单或预算书；</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（8）其他合同文件。</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在合同订立及履行过程中形成的与合同有关的文件均构成合同文件组成部分。</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上述各项合同文件包括合同当事人就该项合同文件所作出的补充和修改，属于同一类内容的文件，应以最新签署的为准。专用合同条款及其附件须经合同当事人签字或盖章。</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r>
        <w:rPr>
          <w:rFonts w:hint="default" w:ascii="仿宋" w:hAnsi="仿宋" w:eastAsia="仿宋"/>
          <w:color w:val="000000"/>
          <w:position w:val="0"/>
          <w:sz w:val="24"/>
          <w:szCs w:val="24"/>
        </w:rPr>
        <w:t xml:space="preserve">    </w:t>
      </w:r>
      <w:bookmarkStart w:id="35" w:name="_Toc351203487"/>
      <w:r>
        <w:rPr>
          <w:rFonts w:hint="default" w:ascii="仿宋" w:hAnsi="仿宋" w:eastAsia="仿宋"/>
          <w:color w:val="000000"/>
          <w:position w:val="0"/>
          <w:sz w:val="24"/>
          <w:szCs w:val="24"/>
        </w:rPr>
        <w:t>七、承诺</w:t>
      </w:r>
      <w:bookmarkEnd w:id="3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1.发包人承诺按照法律规定履行项目审批手续、筹集工程建设资金并按照合同约定的期限和方式支付合同价款。</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2.承包人承诺按照法律规定及合同约定组织完成工程施工，确保工程质量和安全，不进行转包及违法分包，并在缺陷责任期及保修期内承担相应的工程维修责任。</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3.发包人和承包人通过招投标形式签订合同的，双方理解并承诺不再就同一工程另行签订与合同实质性内容相背离的协议。</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bookmarkStart w:id="36" w:name="_Toc351203488"/>
      <w:r>
        <w:rPr>
          <w:rFonts w:hint="default" w:ascii="仿宋" w:hAnsi="仿宋" w:eastAsia="仿宋"/>
          <w:b/>
          <w:color w:val="000000"/>
          <w:position w:val="0"/>
          <w:sz w:val="24"/>
          <w:szCs w:val="24"/>
        </w:rPr>
        <w:t xml:space="preserve">    八、词语含义</w:t>
      </w:r>
      <w:bookmarkEnd w:id="36"/>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本协议书中词语含义与第二部分通用合同条款中赋予的含义相同。</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37" w:name="_Toc351203489"/>
      <w:r>
        <w:rPr>
          <w:rFonts w:hint="default" w:ascii="仿宋" w:hAnsi="仿宋" w:eastAsia="仿宋"/>
          <w:color w:val="000000"/>
          <w:position w:val="0"/>
          <w:sz w:val="24"/>
          <w:szCs w:val="24"/>
        </w:rPr>
        <w:t>九、签订时间</w:t>
      </w:r>
      <w:bookmarkEnd w:id="37"/>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本合同于</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年</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月</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日签订。</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38" w:name="_Toc351203490"/>
      <w:r>
        <w:rPr>
          <w:rFonts w:hint="default" w:ascii="仿宋" w:hAnsi="仿宋" w:eastAsia="仿宋"/>
          <w:color w:val="000000"/>
          <w:position w:val="0"/>
          <w:sz w:val="24"/>
          <w:szCs w:val="24"/>
        </w:rPr>
        <w:t>十、签订地点</w:t>
      </w:r>
      <w:bookmarkEnd w:id="38"/>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本合同在</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签订。</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39" w:name="_Toc351203491"/>
      <w:r>
        <w:rPr>
          <w:rFonts w:hint="default" w:ascii="仿宋" w:hAnsi="仿宋" w:eastAsia="仿宋"/>
          <w:color w:val="000000"/>
          <w:position w:val="0"/>
          <w:sz w:val="24"/>
          <w:szCs w:val="24"/>
        </w:rPr>
        <w:t>十一、补充协议</w:t>
      </w:r>
      <w:bookmarkEnd w:id="39"/>
    </w:p>
    <w:p>
      <w:pPr>
        <w:numPr>
          <w:ilvl w:val="0"/>
          <w:numId w:val="0"/>
        </w:numPr>
        <w:autoSpaceDE/>
        <w:autoSpaceDN/>
        <w:snapToGrid w:val="0"/>
        <w:spacing w:before="0" w:after="0" w:line="360" w:lineRule="auto"/>
        <w:ind w:right="0" w:firstLine="480"/>
        <w:jc w:val="both"/>
        <w:rPr>
          <w:rFonts w:hint="default" w:ascii="仿宋" w:hAnsi="宋体" w:eastAsia="宋体"/>
          <w:b/>
          <w:color w:val="000000"/>
          <w:position w:val="0"/>
          <w:sz w:val="24"/>
          <w:szCs w:val="24"/>
        </w:rPr>
      </w:pPr>
      <w:r>
        <w:rPr>
          <w:rFonts w:hint="default" w:ascii="仿宋" w:hAnsi="仿宋" w:eastAsia="仿宋"/>
          <w:color w:val="000000"/>
          <w:position w:val="0"/>
          <w:sz w:val="24"/>
          <w:szCs w:val="24"/>
        </w:rPr>
        <w:t>合同未尽事宜，合同当事人另行签订补充协议，补充协议是合同的组成部分。</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40" w:name="_Toc351203492"/>
      <w:r>
        <w:rPr>
          <w:rFonts w:hint="default" w:ascii="仿宋" w:hAnsi="仿宋" w:eastAsia="仿宋"/>
          <w:color w:val="000000"/>
          <w:position w:val="0"/>
          <w:sz w:val="24"/>
          <w:szCs w:val="24"/>
        </w:rPr>
        <w:t>十二、合同生效</w:t>
      </w:r>
      <w:bookmarkEnd w:id="40"/>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本合同自</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生效。</w:t>
      </w:r>
    </w:p>
    <w:p>
      <w:pPr>
        <w:numPr>
          <w:ilvl w:val="0"/>
          <w:numId w:val="0"/>
        </w:numPr>
        <w:autoSpaceDE/>
        <w:autoSpaceDN/>
        <w:snapToGrid w:val="0"/>
        <w:spacing w:before="0" w:after="200" w:line="240" w:lineRule="auto"/>
        <w:ind w:right="0" w:firstLine="0"/>
        <w:jc w:val="left"/>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w:t>
      </w:r>
      <w:bookmarkStart w:id="41" w:name="_Toc351203493"/>
      <w:r>
        <w:rPr>
          <w:rFonts w:hint="default" w:ascii="仿宋" w:hAnsi="仿宋" w:eastAsia="仿宋"/>
          <w:color w:val="000000"/>
          <w:position w:val="0"/>
          <w:sz w:val="24"/>
          <w:szCs w:val="24"/>
        </w:rPr>
        <w:t>十三、合同份数</w:t>
      </w:r>
      <w:bookmarkEnd w:id="41"/>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本合同一式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份，均具有同等法律效力，发包人执</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份，承包人执</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份。</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 xml:space="preserve">发包人：  (公章)                    承包人：  (公章)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法定代表人或其委托代理人：          法定代表人或其委托代理人：</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（签字）                              （签字）</w:t>
      </w:r>
    </w:p>
    <w:p>
      <w:pPr>
        <w:numPr>
          <w:ilvl w:val="0"/>
          <w:numId w:val="0"/>
        </w:numPr>
        <w:tabs>
          <w:tab w:val="left" w:pos="4410"/>
        </w:tabs>
        <w:autoSpaceDE/>
        <w:autoSpaceDN/>
        <w:snapToGrid w:val="0"/>
        <w:spacing w:before="0" w:after="0" w:line="360" w:lineRule="auto"/>
        <w:ind w:right="0" w:firstLine="0"/>
        <w:jc w:val="both"/>
        <w:rPr>
          <w:rFonts w:hint="default" w:ascii="仿宋" w:hAnsi="宋体" w:eastAsia="宋体"/>
          <w:color w:val="000000"/>
          <w:position w:val="0"/>
          <w:sz w:val="24"/>
          <w:szCs w:val="24"/>
        </w:rPr>
      </w:pPr>
    </w:p>
    <w:p>
      <w:pPr>
        <w:numPr>
          <w:ilvl w:val="0"/>
          <w:numId w:val="0"/>
        </w:numPr>
        <w:tabs>
          <w:tab w:val="left" w:pos="4410"/>
        </w:tabs>
        <w:autoSpaceDE/>
        <w:autoSpaceDN/>
        <w:snapToGrid w:val="0"/>
        <w:spacing w:before="0" w:after="0" w:line="360" w:lineRule="auto"/>
        <w:ind w:right="0" w:firstLine="0"/>
        <w:jc w:val="both"/>
        <w:rPr>
          <w:rFonts w:hint="default" w:ascii="仿宋" w:hAnsi="宋体" w:eastAsia="宋体"/>
          <w:color w:val="000000"/>
          <w:position w:val="0"/>
          <w:sz w:val="24"/>
          <w:szCs w:val="24"/>
        </w:rPr>
      </w:pPr>
    </w:p>
    <w:p>
      <w:pPr>
        <w:numPr>
          <w:ilvl w:val="0"/>
          <w:numId w:val="0"/>
        </w:numPr>
        <w:tabs>
          <w:tab w:val="left" w:pos="4410"/>
        </w:tabs>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统一社会信用代码：</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 xml:space="preserve">       统一社会信用代码：</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地  址：</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 xml:space="preserve">            地  址：</w:t>
      </w:r>
      <w:r>
        <w:rPr>
          <w:rFonts w:hint="default" w:ascii="仿宋" w:hAnsi="仿宋" w:eastAsia="仿宋"/>
          <w:color w:val="000000"/>
          <w:position w:val="0"/>
          <w:sz w:val="24"/>
          <w:szCs w:val="24"/>
          <w:u w:val="single"/>
        </w:rPr>
        <w:t xml:space="preserve">    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邮政编码：</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 xml:space="preserve">            邮政编码：</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法定代表人：</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 xml:space="preserve">            法定代表人：</w:t>
      </w:r>
      <w:r>
        <w:rPr>
          <w:rFonts w:hint="default" w:ascii="仿宋" w:hAnsi="仿宋" w:eastAsia="仿宋"/>
          <w:color w:val="000000"/>
          <w:position w:val="0"/>
          <w:sz w:val="24"/>
          <w:szCs w:val="24"/>
          <w:u w:val="single"/>
        </w:rPr>
        <w:t xml:space="preserve">      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委托代理人：</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委托代理人：</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电  话：</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电  话：</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传  真：</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传  真：</w:t>
      </w:r>
      <w:r>
        <w:rPr>
          <w:rFonts w:hint="default" w:ascii="仿宋" w:hAnsi="仿宋" w:eastAsia="仿宋"/>
          <w:color w:val="000000"/>
          <w:position w:val="0"/>
          <w:sz w:val="24"/>
          <w:szCs w:val="24"/>
          <w:u w:val="single"/>
        </w:rPr>
        <w:t xml:space="preserve">  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电子信箱：</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电子信箱：</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开户银行：</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开户银行：</w:t>
      </w:r>
      <w:r>
        <w:rPr>
          <w:rFonts w:hint="default" w:ascii="仿宋" w:hAnsi="仿宋" w:eastAsia="仿宋"/>
          <w:color w:val="000000"/>
          <w:position w:val="0"/>
          <w:sz w:val="24"/>
          <w:szCs w:val="24"/>
          <w:u w:val="single"/>
        </w:rPr>
        <w:t xml:space="preserve">      </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8"/>
          <w:szCs w:val="28"/>
        </w:rPr>
      </w:pPr>
      <w:r>
        <w:rPr>
          <w:rFonts w:hint="default" w:ascii="仿宋" w:hAnsi="仿宋" w:eastAsia="仿宋"/>
          <w:color w:val="000000"/>
          <w:position w:val="0"/>
          <w:sz w:val="24"/>
          <w:szCs w:val="24"/>
        </w:rPr>
        <w:t>账  号：</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 xml:space="preserve">            账  号：</w:t>
      </w:r>
      <w:r>
        <w:rPr>
          <w:rFonts w:hint="default" w:ascii="仿宋" w:hAnsi="仿宋" w:eastAsia="仿宋"/>
          <w:color w:val="000000"/>
          <w:position w:val="0"/>
          <w:sz w:val="24"/>
          <w:szCs w:val="24"/>
          <w:u w:val="single"/>
        </w:rPr>
        <w:t xml:space="preserve">       </w:t>
      </w:r>
      <w:r>
        <w:rPr>
          <w:rFonts w:hint="default" w:ascii="宋体" w:hAnsi="Tahoma" w:eastAsia="Tahoma"/>
          <w:color w:val="000000"/>
          <w:position w:val="0"/>
          <w:sz w:val="28"/>
          <w:szCs w:val="28"/>
          <w:u w:val="single"/>
        </w:rPr>
        <w:t xml:space="preserve"> </w:t>
      </w: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bookmarkStart w:id="42" w:name="_Toc467049284"/>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center"/>
        <w:rPr>
          <w:rFonts w:hint="default" w:ascii="宋体" w:hAnsi="宋体" w:eastAsia="宋体"/>
          <w:color w:val="auto"/>
          <w:position w:val="0"/>
          <w:sz w:val="28"/>
          <w:szCs w:val="28"/>
        </w:rPr>
      </w:pPr>
      <w:r>
        <w:rPr>
          <w:rFonts w:hint="default" w:ascii="宋体" w:hAnsi="Tahoma" w:eastAsia="Tahoma"/>
          <w:color w:val="auto"/>
          <w:position w:val="0"/>
          <w:sz w:val="28"/>
          <w:szCs w:val="28"/>
        </w:rPr>
        <w:t>第二部分 通用合同条款（略）</w:t>
      </w:r>
      <w:bookmarkEnd w:id="42"/>
    </w:p>
    <w:p>
      <w:pPr>
        <w:numPr>
          <w:ilvl w:val="0"/>
          <w:numId w:val="0"/>
        </w:numPr>
        <w:autoSpaceDE/>
        <w:autoSpaceDN/>
        <w:snapToGrid w:val="0"/>
        <w:spacing w:before="0" w:after="200" w:line="240" w:lineRule="auto"/>
        <w:ind w:right="0" w:firstLine="0"/>
        <w:jc w:val="center"/>
        <w:rPr>
          <w:rFonts w:hint="default" w:ascii="宋体" w:hAnsi="宋体" w:eastAsia="宋体"/>
          <w:color w:val="auto"/>
          <w:position w:val="0"/>
          <w:sz w:val="28"/>
          <w:szCs w:val="28"/>
        </w:rPr>
      </w:pPr>
      <w:bookmarkStart w:id="43" w:name="_Toc467049285"/>
      <w:r>
        <w:rPr>
          <w:rFonts w:hint="default" w:ascii="宋体" w:hAnsi="Tahoma" w:eastAsia="Tahoma"/>
          <w:color w:val="auto"/>
          <w:position w:val="0"/>
          <w:sz w:val="28"/>
          <w:szCs w:val="28"/>
        </w:rPr>
        <w:t>第三部分 专用合同条款</w:t>
      </w:r>
      <w:bookmarkEnd w:id="43"/>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44" w:name="_Toc351203633"/>
      <w:r>
        <w:rPr>
          <w:rFonts w:hint="default" w:ascii="仿宋" w:hAnsi="仿宋" w:eastAsia="仿宋"/>
          <w:color w:val="000000"/>
          <w:position w:val="0"/>
          <w:sz w:val="24"/>
          <w:szCs w:val="24"/>
        </w:rPr>
        <w:t>1</w:t>
      </w:r>
      <w:bookmarkStart w:id="45" w:name="_Toc297048342"/>
      <w:bookmarkStart w:id="46" w:name="_Toc296891196"/>
      <w:bookmarkStart w:id="47" w:name="_Toc292559361"/>
      <w:bookmarkStart w:id="48" w:name="_Toc296890984"/>
      <w:bookmarkStart w:id="49" w:name="_Toc296347155"/>
      <w:bookmarkStart w:id="50" w:name="_Toc297120456"/>
      <w:bookmarkStart w:id="51" w:name="_Toc296346657"/>
      <w:bookmarkStart w:id="52" w:name="_Toc296503156"/>
      <w:bookmarkStart w:id="53" w:name="_Toc292559866"/>
      <w:bookmarkStart w:id="54" w:name="_Toc296944495"/>
      <w:r>
        <w:rPr>
          <w:rFonts w:hint="default" w:ascii="仿宋" w:hAnsi="仿宋" w:eastAsia="仿宋"/>
          <w:color w:val="000000"/>
          <w:position w:val="0"/>
          <w:sz w:val="24"/>
          <w:szCs w:val="24"/>
        </w:rPr>
        <w:t>. 一般约定</w:t>
      </w:r>
      <w:bookmarkEnd w:id="44"/>
      <w:bookmarkEnd w:id="45"/>
      <w:bookmarkEnd w:id="46"/>
      <w:bookmarkEnd w:id="47"/>
      <w:bookmarkEnd w:id="48"/>
      <w:bookmarkEnd w:id="49"/>
      <w:bookmarkEnd w:id="50"/>
      <w:bookmarkEnd w:id="51"/>
      <w:bookmarkEnd w:id="52"/>
      <w:bookmarkEnd w:id="53"/>
      <w:bookmarkEnd w:id="54"/>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 词语定义</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1.1.1合同</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1.1.1.10其他合同文件包括：</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1.1.2 合同当事人及其他相关方</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1.1.2.4监理人：</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名    称：</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资质类别和等级：</w:t>
      </w:r>
      <w:r>
        <w:rPr>
          <w:rFonts w:hint="default" w:ascii="仿宋" w:hAnsi="仿宋" w:eastAsia="仿宋"/>
          <w:color w:val="000000"/>
          <w:position w:val="0"/>
          <w:sz w:val="24"/>
          <w:szCs w:val="24"/>
          <w:u w:val="single"/>
        </w:rPr>
        <w:t>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联系电话：</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电子信箱：</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通信地址：</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1.1.2.5 设计人：</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名    称：</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资质类别和等级：</w:t>
      </w:r>
      <w:r>
        <w:rPr>
          <w:rFonts w:hint="default" w:ascii="仿宋" w:hAnsi="仿宋" w:eastAsia="仿宋"/>
          <w:color w:val="000000"/>
          <w:position w:val="0"/>
          <w:sz w:val="24"/>
          <w:szCs w:val="24"/>
          <w:u w:val="single"/>
        </w:rPr>
        <w:t>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联系电话：</w:t>
      </w:r>
      <w:r>
        <w:rPr>
          <w:rFonts w:hint="default" w:ascii="仿宋" w:hAnsi="仿宋" w:eastAsia="仿宋"/>
          <w:color w:val="000000"/>
          <w:position w:val="0"/>
          <w:sz w:val="24"/>
          <w:szCs w:val="24"/>
          <w:u w:val="single"/>
        </w:rPr>
        <w:t>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电子信箱：</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通信地址：</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1.1.3 工程和设备</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1.1.3.7 作为施工现场组成部分的其他场所包括：</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1.1.3.9 永久占地包括：</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1.1.3.10 临时占地包括：</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1.3法律 </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适用于合同的其他规范性文件：</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 标准和规范</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1.4.1适用于工程的标准规范包括：</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1.4.2 发包人提供国外标准、规范的名称：</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发包人提供国外标准、规范的份数：</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发包人提供国外标准、规范的名称：</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left="625"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1.4.3发包人对工程的技术标准和功能要求的特殊要求：</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1.5 合同文件的优先顺序</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合同文件组成及优先顺序为：</w:t>
      </w:r>
      <w:r>
        <w:rPr>
          <w:rFonts w:hint="default" w:ascii="仿宋" w:hAnsi="仿宋" w:eastAsia="仿宋"/>
          <w:color w:val="000000"/>
          <w:position w:val="0"/>
          <w:sz w:val="24"/>
          <w:szCs w:val="24"/>
          <w:u w:val="single"/>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 图纸和承包人文件</w:t>
      </w:r>
      <w:r>
        <w:rPr>
          <w:rFonts w:hint="default" w:ascii="仿宋" w:hAnsi="仿宋" w:eastAsia="仿宋"/>
          <w:color w:val="000000"/>
          <w:position w:val="0"/>
          <w:sz w:val="24"/>
          <w:szCs w:val="24"/>
        </w:rPr>
        <w:tab/>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1.6.1 图纸的提供</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发包人向承包人提供图纸的期限：</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发包人向承包人提供图纸的数量：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发包人向承包人提供图纸的内容：</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1.6.4 承包人文件</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需要由承包人提供的文件，包括：</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承包人提供的文件的期限为：</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承包人提供的文件的数量为：</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承包人提供的文件的形式为：</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发包人审批承包人文件的期限：</w:t>
      </w:r>
      <w:r>
        <w:rPr>
          <w:rFonts w:hint="default" w:ascii="仿宋" w:hAnsi="仿宋" w:eastAsia="仿宋"/>
          <w:color w:val="000000"/>
          <w:position w:val="0"/>
          <w:sz w:val="24"/>
          <w:szCs w:val="24"/>
          <w:u w:val="single"/>
        </w:rPr>
        <w:t>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1.6.5 现场图纸准备</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关于现场图纸准备的约定：</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1.7 联络</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1.7.1发包人和承包人应当在</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天内将与合同有关的通知、批准、证明、证书、指示、指令、要求、请求、同意、意见、确定和决定等书面函件送达对方当事人。</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1.7.2 发包人接收文件的地点：</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发包人指定的接收人为：</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承包人接收文件的地点：</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承包人指定的接收人为：</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监理人接收文件的地点：</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监理人指定的接收人为：</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1.10 交通运输</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w:t>
      </w:r>
      <w:bookmarkStart w:id="55" w:name="_Toc304295521"/>
      <w:bookmarkStart w:id="56" w:name="_Toc300934943"/>
      <w:bookmarkStart w:id="57" w:name="_Toc312677986"/>
      <w:bookmarkStart w:id="58" w:name="_Toc318581155"/>
      <w:bookmarkStart w:id="59" w:name="_Toc303539100"/>
      <w:r>
        <w:rPr>
          <w:rFonts w:hint="default" w:ascii="仿宋" w:hAnsi="仿宋" w:eastAsia="仿宋"/>
          <w:color w:val="auto"/>
          <w:position w:val="0"/>
          <w:sz w:val="24"/>
          <w:szCs w:val="24"/>
        </w:rPr>
        <w:t>.10.1 出入现场的权利</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关于出入现场的权利的约定：</w:t>
      </w:r>
      <w:r>
        <w:rPr>
          <w:rFonts w:hint="default" w:ascii="仿宋" w:hAnsi="仿宋" w:eastAsia="仿宋"/>
          <w:color w:val="000000"/>
          <w:position w:val="0"/>
          <w:sz w:val="24"/>
          <w:szCs w:val="24"/>
          <w:u w:val="single"/>
        </w:rPr>
        <w:t> </w:t>
      </w:r>
      <w:r>
        <w:rPr>
          <w:rFonts w:hint="default" w:ascii="仿宋" w:hAnsi="仿宋" w:eastAsia="仿宋"/>
          <w:color w:val="auto"/>
          <w:position w:val="0"/>
          <w:sz w:val="24"/>
          <w:szCs w:val="24"/>
        </w:rPr>
        <w:t>。</w:t>
      </w:r>
      <w:bookmarkEnd w:id="55"/>
      <w:bookmarkEnd w:id="56"/>
      <w:bookmarkEnd w:id="57"/>
      <w:bookmarkEnd w:id="58"/>
      <w:bookmarkEnd w:id="59"/>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w:t>
      </w:r>
      <w:bookmarkStart w:id="60" w:name="_Toc303539101"/>
      <w:bookmarkStart w:id="61" w:name="_Toc318581156"/>
      <w:bookmarkStart w:id="62" w:name="_Toc300934944"/>
      <w:bookmarkStart w:id="63" w:name="_Toc304295522"/>
      <w:bookmarkStart w:id="64" w:name="_Toc312677987"/>
      <w:r>
        <w:rPr>
          <w:rFonts w:hint="default" w:ascii="仿宋" w:hAnsi="仿宋" w:eastAsia="仿宋"/>
          <w:color w:val="auto"/>
          <w:position w:val="0"/>
          <w:sz w:val="24"/>
          <w:szCs w:val="24"/>
        </w:rPr>
        <w:t>.10.3 场内交通</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关于场外交通和场内交通的边界的约定：</w:t>
      </w:r>
      <w:r>
        <w:rPr>
          <w:rFonts w:hint="default" w:ascii="仿宋" w:hAnsi="仿宋" w:eastAsia="仿宋"/>
          <w:color w:val="000000"/>
          <w:position w:val="0"/>
          <w:sz w:val="24"/>
          <w:szCs w:val="24"/>
          <w:u w:val="single"/>
        </w:rPr>
        <w:t></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关于发包人向承包人免费提供满足工程施工需要的场内道路和交通设施的约定：</w:t>
      </w:r>
      <w:r>
        <w:rPr>
          <w:rFonts w:hint="default" w:ascii="仿宋" w:hAnsi="仿宋" w:eastAsia="仿宋"/>
          <w:color w:val="000000"/>
          <w:position w:val="0"/>
          <w:sz w:val="24"/>
          <w:szCs w:val="24"/>
          <w:u w:val="single"/>
        </w:rPr>
        <w:t></w:t>
      </w:r>
      <w:r>
        <w:rPr>
          <w:rFonts w:hint="default" w:ascii="仿宋" w:hAnsi="仿宋" w:eastAsia="仿宋"/>
          <w:color w:val="auto"/>
          <w:position w:val="0"/>
          <w:sz w:val="24"/>
          <w:szCs w:val="24"/>
        </w:rPr>
        <w:t>。</w:t>
      </w:r>
      <w:bookmarkEnd w:id="60"/>
      <w:bookmarkEnd w:id="61"/>
      <w:bookmarkEnd w:id="62"/>
      <w:bookmarkEnd w:id="63"/>
      <w:bookmarkEnd w:id="64"/>
      <w:r>
        <w:rPr>
          <w:rFonts w:hint="default" w:ascii="仿宋" w:hAnsi="仿宋" w:eastAsia="仿宋"/>
          <w:color w:val="auto"/>
          <w:position w:val="0"/>
          <w:sz w:val="24"/>
          <w:szCs w:val="24"/>
        </w:rPr>
        <w:t xml:space="preserve">  </w:t>
      </w:r>
      <w:bookmarkStart w:id="65" w:name="_Toc318581157"/>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1.10.4超大件和超重件的运输</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运输超大件或超重件所需的道路和桥梁临时加固改造费用和其他有关费用由</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承担。</w:t>
      </w:r>
      <w:bookmarkEnd w:id="6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1.11 知识产权</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1.11.1关于发包人提供给承包人的图纸、发包人为实施工程自行编制或委托编制的技术规范以及反映发包人关于合同要求或其他类似性质的文件的著作权的归属：</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关于发包人提供的上述文件的使用限制的要求：</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1.11.2 关于承包人为实施工程所编制文件的著作权的归属：</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关于承包人提供的上述文件的使用限制的要求：</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1.11.4 承包人在施工过程中所采用的专利、专有技术、技术秘密的使用费的承担方式：</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1.13工程量清单错误的修正</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出现工程量清单错误时，是否调整合同价格：</w:t>
      </w:r>
      <w:r>
        <w:rPr>
          <w:rFonts w:hint="default" w:ascii="仿宋" w:hAnsi="仿宋" w:eastAsia="仿宋"/>
          <w:color w:val="000000"/>
          <w:position w:val="0"/>
          <w:sz w:val="24"/>
          <w:szCs w:val="24"/>
          <w:u w:val="single"/>
        </w:rPr>
        <w:t xml:space="preserve">    </w:t>
      </w:r>
      <w:r>
        <w:rPr>
          <w:rFonts w:hint="default" w:ascii="仿宋" w:hAnsi="仿宋" w:eastAsia="仿宋"/>
          <w:b/>
          <w:color w:val="000000"/>
          <w:position w:val="0"/>
          <w:sz w:val="24"/>
          <w:szCs w:val="24"/>
          <w:u w:val="single"/>
        </w:rPr>
        <w:t xml:space="preserve"> 不调整</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允许调整合同价格的工程量偏差范围：</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66" w:name="_Toc351203634"/>
      <w:r>
        <w:rPr>
          <w:rFonts w:hint="default" w:ascii="仿宋" w:hAnsi="仿宋" w:eastAsia="仿宋"/>
          <w:color w:val="000000"/>
          <w:position w:val="0"/>
          <w:sz w:val="24"/>
          <w:szCs w:val="24"/>
        </w:rPr>
        <w:t>2</w:t>
      </w:r>
      <w:bookmarkStart w:id="67" w:name="_Toc297048343"/>
      <w:bookmarkStart w:id="68" w:name="_Toc296891197"/>
      <w:bookmarkStart w:id="69" w:name="_Toc296944496"/>
      <w:bookmarkStart w:id="70" w:name="_Toc296346658"/>
      <w:bookmarkStart w:id="71" w:name="_Toc296347156"/>
      <w:bookmarkStart w:id="72" w:name="_Toc296503157"/>
      <w:bookmarkStart w:id="73" w:name="_Toc296890985"/>
      <w:bookmarkStart w:id="74" w:name="_Toc292559362"/>
      <w:bookmarkStart w:id="75" w:name="_Toc292559867"/>
      <w:bookmarkStart w:id="76" w:name="_Toc297120457"/>
      <w:r>
        <w:rPr>
          <w:rFonts w:hint="default" w:ascii="仿宋" w:hAnsi="仿宋" w:eastAsia="仿宋"/>
          <w:color w:val="000000"/>
          <w:position w:val="0"/>
          <w:sz w:val="24"/>
          <w:szCs w:val="24"/>
        </w:rPr>
        <w:t>. 发包人</w:t>
      </w:r>
      <w:bookmarkEnd w:id="66"/>
      <w:bookmarkEnd w:id="67"/>
      <w:bookmarkEnd w:id="68"/>
      <w:bookmarkEnd w:id="69"/>
      <w:bookmarkEnd w:id="70"/>
      <w:bookmarkEnd w:id="71"/>
      <w:bookmarkEnd w:id="72"/>
      <w:bookmarkEnd w:id="73"/>
      <w:bookmarkEnd w:id="74"/>
      <w:bookmarkEnd w:id="75"/>
      <w:bookmarkEnd w:id="76"/>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2.2 发包人代表</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发包人代表：</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姓    名：</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身份证号：</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职    务：</w:t>
      </w:r>
      <w:r>
        <w:rPr>
          <w:rFonts w:hint="default" w:ascii="仿宋" w:hAnsi="仿宋" w:eastAsia="仿宋"/>
          <w:color w:val="000000"/>
          <w:position w:val="0"/>
          <w:sz w:val="24"/>
          <w:szCs w:val="24"/>
          <w:u w:val="single"/>
        </w:rPr>
        <w:t xml:space="preserve">   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联系电话：</w:t>
      </w:r>
      <w:r>
        <w:rPr>
          <w:rFonts w:hint="default" w:ascii="仿宋" w:hAnsi="仿宋" w:eastAsia="仿宋"/>
          <w:color w:val="000000"/>
          <w:position w:val="0"/>
          <w:sz w:val="24"/>
          <w:szCs w:val="24"/>
          <w:u w:val="single"/>
        </w:rPr>
        <w:t xml:space="preserve">  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电子信箱：</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通信地址：</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b/>
          <w:color w:val="000000"/>
          <w:position w:val="0"/>
          <w:sz w:val="24"/>
          <w:szCs w:val="24"/>
        </w:rPr>
      </w:pPr>
      <w:r>
        <w:rPr>
          <w:rFonts w:hint="default" w:ascii="仿宋" w:hAnsi="仿宋" w:eastAsia="仿宋"/>
          <w:color w:val="000000"/>
          <w:position w:val="0"/>
          <w:sz w:val="24"/>
          <w:szCs w:val="24"/>
        </w:rPr>
        <w:t>发包人对发包人代表的授权范围如下：</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2.4 施工现场、施工条件和基础资料的提供</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2.4.1 提供施工现场</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关于发包人移交施工现场的期限要求：</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2.4.2 提供施工条件</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关于发包人应负责提供施工所需要的条件，包括：</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2.5 资金来源证明及支付担保</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发包人提供资金来源证明的期限要求：</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发包人是否提供支付担保：</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发包人提供支付担保的形式：</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77" w:name="_Toc351203635"/>
      <w:r>
        <w:rPr>
          <w:rFonts w:hint="default" w:ascii="仿宋" w:hAnsi="仿宋" w:eastAsia="仿宋"/>
          <w:color w:val="000000"/>
          <w:position w:val="0"/>
          <w:sz w:val="24"/>
          <w:szCs w:val="24"/>
        </w:rPr>
        <w:t>3</w:t>
      </w:r>
      <w:bookmarkStart w:id="78" w:name="_Toc296503158"/>
      <w:bookmarkStart w:id="79" w:name="_Toc296347157"/>
      <w:bookmarkStart w:id="80" w:name="_Toc292559363"/>
      <w:bookmarkStart w:id="81" w:name="_Toc296890986"/>
      <w:bookmarkStart w:id="82" w:name="_Toc296346659"/>
      <w:bookmarkStart w:id="83" w:name="_Toc292559868"/>
      <w:bookmarkStart w:id="84" w:name="_Toc296891198"/>
      <w:bookmarkStart w:id="85" w:name="_Toc297120458"/>
      <w:bookmarkStart w:id="86" w:name="_Toc296944497"/>
      <w:bookmarkStart w:id="87" w:name="_Toc297048344"/>
      <w:r>
        <w:rPr>
          <w:rFonts w:hint="default" w:ascii="仿宋" w:hAnsi="仿宋" w:eastAsia="仿宋"/>
          <w:color w:val="000000"/>
          <w:position w:val="0"/>
          <w:sz w:val="24"/>
          <w:szCs w:val="24"/>
        </w:rPr>
        <w:t>. 承包人</w:t>
      </w:r>
      <w:bookmarkEnd w:id="77"/>
      <w:bookmarkEnd w:id="78"/>
      <w:bookmarkEnd w:id="79"/>
      <w:bookmarkEnd w:id="80"/>
      <w:bookmarkEnd w:id="81"/>
      <w:bookmarkEnd w:id="82"/>
      <w:bookmarkEnd w:id="83"/>
      <w:bookmarkEnd w:id="84"/>
      <w:bookmarkEnd w:id="85"/>
      <w:bookmarkEnd w:id="86"/>
      <w:bookmarkEnd w:id="87"/>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3.1 承包人的一般义务</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（5）承包人提交的竣工资料的内容：</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承包人需要提交的竣工资料套数：</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承包人提交的竣工资料的费用承担：</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承包人提交的竣工资料移交时间：</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承包人提交的竣工资料形式要求：</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（6）承包人应履行的其他义务：</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3.2 项目经理</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3.2.1 项目经理：</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姓    名：</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身份证号：</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建造师执业资格等级：</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建造师注册证书号：</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建造师执业印章号：</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安全生产考核合格证书号：</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联系电话：</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电子信箱：</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通信地址：</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承包人对项目经理的授权范围如下：</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关于项目经理每月在施工现场的时间要求：</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承包人未提交劳动合同，以及没有为项目经理缴纳社会保险证明的违约责任：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项目经理未经批准，擅自离开施工现场的违约责任：</w:t>
      </w:r>
      <w:r>
        <w:rPr>
          <w:rFonts w:hint="default" w:ascii="仿宋" w:hAnsi="仿宋" w:eastAsia="仿宋"/>
          <w:color w:val="000000"/>
          <w:position w:val="0"/>
          <w:sz w:val="24"/>
          <w:szCs w:val="24"/>
          <w:u w:val="single"/>
        </w:rPr>
        <w:t xml:space="preserve">        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3.2.3 承包人擅自更换项目经理的违约责任：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3.2.4 承包人无正当理由拒绝更换项目经理的违约责任：</w:t>
      </w:r>
      <w:r>
        <w:rPr>
          <w:rFonts w:hint="default" w:ascii="仿宋" w:hAnsi="仿宋" w:eastAsia="仿宋"/>
          <w:color w:val="000000"/>
          <w:position w:val="0"/>
          <w:sz w:val="24"/>
          <w:szCs w:val="24"/>
          <w:u w:val="single"/>
        </w:rPr>
        <w:t xml:space="preserve">  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3.3 承包人人员</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3.3.1 承包人提交项目管理机构及施工现场管理人员安排报告的期限：</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3.3.3 承包人无正当理由拒绝撤换主要施工管理人员的违约责任：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3.3.4 承包人主要施工管理人员离开施工现场的批准要求</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3.3.5承包人擅自更换主要施工管理人员的违约责任：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承包人主要施工管理人员擅自离开施工现场的违约责任：</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w:t>
      </w:r>
      <w:bookmarkStart w:id="88" w:name="_Toc292559364"/>
      <w:bookmarkStart w:id="89" w:name="_Toc292559869"/>
      <w:bookmarkStart w:id="90" w:name="_Toc296346660"/>
      <w:bookmarkStart w:id="91" w:name="_Toc296347158"/>
      <w:bookmarkStart w:id="92" w:name="_Toc296503159"/>
      <w:bookmarkStart w:id="93" w:name="_Toc296890987"/>
      <w:bookmarkStart w:id="94" w:name="_Toc296891199"/>
      <w:bookmarkStart w:id="95" w:name="_Toc296944498"/>
      <w:bookmarkStart w:id="96" w:name="_Toc297048345"/>
      <w:bookmarkStart w:id="97" w:name="_Toc297120459"/>
      <w:bookmarkStart w:id="98" w:name="_Toc297123492"/>
      <w:bookmarkStart w:id="99" w:name="_Toc297216151"/>
      <w:bookmarkStart w:id="100" w:name="_Toc300934945"/>
      <w:bookmarkStart w:id="101" w:name="_Toc303539102"/>
      <w:bookmarkStart w:id="102" w:name="_Toc304295523"/>
      <w:bookmarkStart w:id="103" w:name="_Toc312677988"/>
      <w:r>
        <w:rPr>
          <w:rFonts w:hint="default" w:ascii="仿宋" w:hAnsi="仿宋" w:eastAsia="仿宋"/>
          <w:color w:val="000000"/>
          <w:position w:val="0"/>
          <w:sz w:val="24"/>
          <w:szCs w:val="24"/>
        </w:rPr>
        <w:t>.5 分包</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3</w:t>
      </w:r>
      <w:bookmarkStart w:id="104" w:name="_Toc292559365"/>
      <w:bookmarkStart w:id="105" w:name="_Toc292559870"/>
      <w:bookmarkStart w:id="106" w:name="_Toc296346661"/>
      <w:bookmarkStart w:id="107" w:name="_Toc296347159"/>
      <w:bookmarkStart w:id="108" w:name="_Toc296503160"/>
      <w:bookmarkStart w:id="109" w:name="_Toc296890988"/>
      <w:bookmarkStart w:id="110" w:name="_Toc296891200"/>
      <w:bookmarkStart w:id="111" w:name="_Toc296944499"/>
      <w:bookmarkStart w:id="112" w:name="_Toc297048346"/>
      <w:bookmarkStart w:id="113" w:name="_Toc297120460"/>
      <w:bookmarkStart w:id="114" w:name="_Toc297123493"/>
      <w:bookmarkStart w:id="115" w:name="_Toc297216152"/>
      <w:bookmarkStart w:id="116" w:name="_Toc300934946"/>
      <w:bookmarkStart w:id="117" w:name="_Toc303539103"/>
      <w:bookmarkStart w:id="118" w:name="_Toc304295524"/>
      <w:bookmarkStart w:id="119" w:name="_Toc312677989"/>
      <w:bookmarkStart w:id="120" w:name="_Toc318581158"/>
      <w:r>
        <w:rPr>
          <w:rFonts w:hint="default" w:ascii="仿宋" w:hAnsi="仿宋" w:eastAsia="仿宋"/>
          <w:color w:val="auto"/>
          <w:position w:val="0"/>
          <w:sz w:val="24"/>
          <w:szCs w:val="24"/>
        </w:rPr>
        <w:t>.5.1 分包的一般约定</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禁止分包的工程包括：</w:t>
      </w:r>
      <w:r>
        <w:rPr>
          <w:rFonts w:hint="default" w:ascii="仿宋" w:hAnsi="仿宋" w:eastAsia="仿宋"/>
          <w:color w:val="auto"/>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auto"/>
          <w:position w:val="0"/>
          <w:sz w:val="24"/>
          <w:szCs w:val="24"/>
        </w:rPr>
        <w:t>主体结构、关键性工作的范围：</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Start w:id="121" w:name="_Toc296346662"/>
      <w:bookmarkEnd w:id="121"/>
      <w:bookmarkStart w:id="122" w:name="_Toc296347160"/>
      <w:bookmarkEnd w:id="122"/>
      <w:bookmarkStart w:id="123" w:name="_Toc296503161"/>
      <w:bookmarkEnd w:id="123"/>
      <w:bookmarkStart w:id="124" w:name="_Toc296890989"/>
      <w:bookmarkEnd w:id="124"/>
      <w:bookmarkStart w:id="125" w:name="_Toc296891201"/>
      <w:bookmarkEnd w:id="125"/>
      <w:bookmarkStart w:id="126" w:name="_Toc296944500"/>
      <w:bookmarkEnd w:id="126"/>
      <w:bookmarkStart w:id="127" w:name="_Toc297048347"/>
      <w:bookmarkEnd w:id="127"/>
      <w:bookmarkStart w:id="128" w:name="_Toc297120461"/>
      <w:bookmarkEnd w:id="128"/>
      <w:bookmarkStart w:id="129" w:name="_Toc297123494"/>
      <w:bookmarkEnd w:id="129"/>
      <w:bookmarkStart w:id="130" w:name="_Toc297216153"/>
      <w:bookmarkEnd w:id="130"/>
      <w:bookmarkStart w:id="131" w:name="_Toc300934947"/>
      <w:bookmarkEnd w:id="131"/>
      <w:bookmarkStart w:id="132" w:name="_Toc303539104"/>
      <w:bookmarkEnd w:id="132"/>
      <w:bookmarkStart w:id="133" w:name="_Toc304295525"/>
      <w:bookmarkEnd w:id="133"/>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 xml:space="preserve"> 3</w:t>
      </w:r>
      <w:bookmarkStart w:id="134" w:name="_Toc318581159"/>
      <w:bookmarkStart w:id="135" w:name="_Toc312677990"/>
      <w:r>
        <w:rPr>
          <w:rFonts w:hint="default" w:ascii="仿宋" w:hAnsi="仿宋" w:eastAsia="仿宋"/>
          <w:color w:val="auto"/>
          <w:position w:val="0"/>
          <w:sz w:val="24"/>
          <w:szCs w:val="24"/>
        </w:rPr>
        <w:t>.5.2分包的确定</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auto"/>
          <w:position w:val="0"/>
          <w:sz w:val="24"/>
          <w:szCs w:val="24"/>
        </w:rPr>
        <w:t>允许分包的专业工程包括：</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000000"/>
          <w:position w:val="0"/>
          <w:sz w:val="24"/>
          <w:szCs w:val="24"/>
        </w:rPr>
        <w:t>其他关于分包的约定：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3.5.4 分包合同价款</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关于分包合同价款支付的约定：</w:t>
      </w:r>
      <w:r>
        <w:rPr>
          <w:rFonts w:hint="default" w:ascii="仿宋" w:hAnsi="仿宋" w:eastAsia="仿宋"/>
          <w:color w:val="000000"/>
          <w:position w:val="0"/>
          <w:sz w:val="24"/>
          <w:szCs w:val="24"/>
          <w:u w:val="single"/>
        </w:rPr>
        <w:t></w:t>
      </w:r>
      <w:r>
        <w:rPr>
          <w:rFonts w:hint="default" w:ascii="仿宋" w:hAnsi="仿宋" w:eastAsia="仿宋"/>
          <w:color w:val="000000"/>
          <w:position w:val="0"/>
          <w:sz w:val="24"/>
          <w:szCs w:val="24"/>
        </w:rPr>
        <w:t>。</w:t>
      </w:r>
      <w:bookmarkEnd w:id="134"/>
      <w:bookmarkEnd w:id="13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3.6 工程照管与成品、半成品保护</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承包人负责照管工程及工程相关的材料、工程设备的起始时间：</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3.7 履约担保</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承包人是否提供履约担保：</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承包人提供履约担保的形式、金额及期限的：</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136" w:name="_Toc351203636"/>
      <w:r>
        <w:rPr>
          <w:rFonts w:hint="default" w:ascii="仿宋" w:hAnsi="仿宋" w:eastAsia="仿宋"/>
          <w:color w:val="000000"/>
          <w:position w:val="0"/>
          <w:sz w:val="24"/>
          <w:szCs w:val="24"/>
        </w:rPr>
        <w:t>4</w:t>
      </w:r>
      <w:bookmarkStart w:id="137" w:name="_Toc296346663"/>
      <w:bookmarkStart w:id="138" w:name="_Toc296347161"/>
      <w:bookmarkStart w:id="139" w:name="_Toc296503162"/>
      <w:bookmarkStart w:id="140" w:name="_Toc296890990"/>
      <w:bookmarkStart w:id="141" w:name="_Toc296891202"/>
      <w:bookmarkStart w:id="142" w:name="_Toc296944501"/>
      <w:bookmarkStart w:id="143" w:name="_Toc297048348"/>
      <w:bookmarkStart w:id="144" w:name="_Toc297120462"/>
      <w:bookmarkStart w:id="145" w:name="_Toc292559366"/>
      <w:bookmarkStart w:id="146" w:name="_Toc292559871"/>
      <w:bookmarkStart w:id="147" w:name="_Toc267251413"/>
      <w:r>
        <w:rPr>
          <w:rFonts w:hint="default" w:ascii="仿宋" w:hAnsi="仿宋" w:eastAsia="仿宋"/>
          <w:color w:val="000000"/>
          <w:position w:val="0"/>
          <w:sz w:val="24"/>
          <w:szCs w:val="24"/>
        </w:rPr>
        <w:t>. 监</w:t>
      </w:r>
      <w:bookmarkEnd w:id="137"/>
      <w:bookmarkEnd w:id="138"/>
      <w:bookmarkEnd w:id="139"/>
      <w:bookmarkEnd w:id="140"/>
      <w:bookmarkEnd w:id="141"/>
      <w:bookmarkEnd w:id="142"/>
      <w:bookmarkEnd w:id="143"/>
      <w:bookmarkEnd w:id="144"/>
      <w:bookmarkEnd w:id="145"/>
      <w:bookmarkEnd w:id="146"/>
      <w:bookmarkEnd w:id="147"/>
      <w:r>
        <w:rPr>
          <w:rFonts w:hint="default" w:ascii="仿宋" w:hAnsi="仿宋" w:eastAsia="仿宋"/>
          <w:color w:val="000000"/>
          <w:position w:val="0"/>
          <w:sz w:val="24"/>
          <w:szCs w:val="24"/>
        </w:rPr>
        <w:t>理人</w:t>
      </w:r>
      <w:bookmarkEnd w:id="136"/>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4.1监理人的一般规定</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关于监理人的监理内容：</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关于监理人的监理权限：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关于监理人在施工现场的办公场所、生活场所的提供和费用承担的约定：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4.2 监理人员</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总监理工程师：</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姓    名：</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职    务：</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监理工程师执业资格证书号：</w:t>
      </w:r>
      <w:r>
        <w:rPr>
          <w:rFonts w:hint="default" w:ascii="仿宋" w:hAnsi="仿宋" w:eastAsia="仿宋"/>
          <w:color w:val="000000"/>
          <w:position w:val="0"/>
          <w:sz w:val="24"/>
          <w:szCs w:val="24"/>
          <w:u w:val="single"/>
        </w:rPr>
        <w:t>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联系电话：</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电子信箱：</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通信地址：</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关于监理人的其他约定：</w:t>
      </w:r>
      <w:r>
        <w:rPr>
          <w:rFonts w:hint="default" w:ascii="仿宋" w:hAnsi="仿宋" w:eastAsia="仿宋"/>
          <w:color w:val="000000"/>
          <w:position w:val="0"/>
          <w:sz w:val="24"/>
          <w:szCs w:val="24"/>
          <w:u w:val="single"/>
        </w:rPr>
        <w:t>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4.4 商定或确定</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bookmarkStart w:id="148" w:name="_Toc267251418"/>
      <w:r>
        <w:rPr>
          <w:rFonts w:hint="default" w:ascii="仿宋" w:hAnsi="仿宋" w:eastAsia="仿宋"/>
          <w:color w:val="000000"/>
          <w:position w:val="0"/>
          <w:sz w:val="24"/>
          <w:szCs w:val="24"/>
        </w:rPr>
        <w:t>在发包人和承包人不能通过协商达成一致意见时，发包人授权监理人对以下事项进行确定：</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149" w:name="_Toc351203637"/>
      <w:r>
        <w:rPr>
          <w:rFonts w:hint="default" w:ascii="仿宋" w:hAnsi="仿宋" w:eastAsia="仿宋"/>
          <w:color w:val="000000"/>
          <w:position w:val="0"/>
          <w:sz w:val="24"/>
          <w:szCs w:val="24"/>
        </w:rPr>
        <w:t>5</w:t>
      </w:r>
      <w:bookmarkEnd w:id="148"/>
      <w:bookmarkStart w:id="150" w:name="_Toc296890991"/>
      <w:bookmarkStart w:id="151" w:name="_Toc297048349"/>
      <w:bookmarkStart w:id="152" w:name="_Toc296503163"/>
      <w:bookmarkStart w:id="153" w:name="_Toc292559872"/>
      <w:bookmarkStart w:id="154" w:name="_Toc296347162"/>
      <w:bookmarkStart w:id="155" w:name="_Toc296891203"/>
      <w:bookmarkStart w:id="156" w:name="_Toc296944502"/>
      <w:bookmarkStart w:id="157" w:name="_Toc296346664"/>
      <w:bookmarkStart w:id="158" w:name="_Toc297120463"/>
      <w:bookmarkStart w:id="159" w:name="_Toc292559367"/>
      <w:r>
        <w:rPr>
          <w:rFonts w:hint="default" w:ascii="仿宋" w:hAnsi="仿宋" w:eastAsia="仿宋"/>
          <w:color w:val="000000"/>
          <w:position w:val="0"/>
          <w:sz w:val="24"/>
          <w:szCs w:val="24"/>
        </w:rPr>
        <w:t>. 工程质量</w:t>
      </w:r>
      <w:bookmarkEnd w:id="149"/>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5.1 质量要求</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5</w:t>
      </w:r>
      <w:bookmarkStart w:id="160" w:name="_Toc312677997"/>
      <w:bookmarkStart w:id="161" w:name="_Toc318581164"/>
      <w:bookmarkStart w:id="162" w:name="_Toc304295527"/>
      <w:bookmarkStart w:id="163" w:name="_Toc303539106"/>
      <w:bookmarkStart w:id="164" w:name="_Toc300934949"/>
      <w:bookmarkStart w:id="165" w:name="_Toc297123496"/>
      <w:bookmarkStart w:id="166" w:name="_Toc297216155"/>
      <w:r>
        <w:rPr>
          <w:rFonts w:hint="default" w:ascii="仿宋" w:hAnsi="仿宋" w:eastAsia="仿宋"/>
          <w:color w:val="auto"/>
          <w:position w:val="0"/>
          <w:sz w:val="24"/>
          <w:szCs w:val="24"/>
        </w:rPr>
        <w:t>.1.1 特殊质量标准和要求：</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u w:val="single"/>
        </w:rPr>
      </w:pPr>
      <w:r>
        <w:rPr>
          <w:rFonts w:hint="default" w:ascii="仿宋" w:hAnsi="仿宋" w:eastAsia="仿宋"/>
          <w:color w:val="auto"/>
          <w:position w:val="0"/>
          <w:sz w:val="24"/>
          <w:szCs w:val="24"/>
        </w:rPr>
        <w:t>关于工程奖项的约定：</w:t>
      </w:r>
      <w:r>
        <w:rPr>
          <w:rFonts w:hint="default" w:ascii="仿宋" w:hAnsi="仿宋" w:eastAsia="仿宋"/>
          <w:color w:val="auto"/>
          <w:position w:val="0"/>
          <w:sz w:val="24"/>
          <w:szCs w:val="24"/>
          <w:u w:val="single"/>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5.3 隐蔽工程检查</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5.3.2承包人提前通知监理人隐蔽工程检查的期限的约定：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监理人不能按时进行检查时，应提前</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小时提交书面延期要求。</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关于延期最长不得超过：</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小时。</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167" w:name="_Toc351203638"/>
      <w:r>
        <w:rPr>
          <w:rFonts w:hint="default" w:ascii="仿宋" w:hAnsi="仿宋" w:eastAsia="仿宋"/>
          <w:color w:val="000000"/>
          <w:position w:val="0"/>
          <w:sz w:val="24"/>
          <w:szCs w:val="24"/>
        </w:rPr>
        <w:t>6. 安全文明施工与环境保护</w:t>
      </w:r>
      <w:bookmarkEnd w:id="167"/>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6.1安全文明施工</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6.1.1</w:t>
      </w:r>
      <w:r>
        <w:rPr>
          <w:rFonts w:hint="default" w:ascii="仿宋" w:hAnsi="仿宋" w:eastAsia="仿宋"/>
          <w:color w:val="000000"/>
          <w:position w:val="0"/>
          <w:sz w:val="24"/>
          <w:szCs w:val="24"/>
        </w:rPr>
        <w:t xml:space="preserve"> 项目安全生产的达标目标及相应事项的约定：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6.1.4 关于治安保卫的特别约定：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关于编制施工场地治安管理计划的约定：</w:t>
      </w:r>
      <w:r>
        <w:rPr>
          <w:rFonts w:hint="default" w:ascii="仿宋" w:hAnsi="仿宋" w:eastAsia="仿宋"/>
          <w:color w:val="auto"/>
          <w:position w:val="0"/>
          <w:sz w:val="24"/>
          <w:szCs w:val="24"/>
          <w:u w:val="single"/>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6.1.5 文明施工</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合同当事人对文明施工的要求：</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6.1.6 关于安全文明施工费支付比例和支付期限的约定：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bookmarkEnd w:id="160"/>
    <w:bookmarkEnd w:id="161"/>
    <w:bookmarkEnd w:id="162"/>
    <w:bookmarkEnd w:id="163"/>
    <w:bookmarkEnd w:id="164"/>
    <w:bookmarkEnd w:id="165"/>
    <w:bookmarkEnd w:id="166"/>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168" w:name="_Toc351203639"/>
      <w:r>
        <w:rPr>
          <w:rFonts w:hint="default" w:ascii="仿宋" w:hAnsi="仿宋" w:eastAsia="仿宋"/>
          <w:color w:val="000000"/>
          <w:position w:val="0"/>
          <w:sz w:val="24"/>
          <w:szCs w:val="24"/>
        </w:rPr>
        <w:t>7. 工期和进度</w:t>
      </w:r>
      <w:bookmarkEnd w:id="168"/>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7.1 施工组织设计</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auto"/>
          <w:position w:val="0"/>
          <w:sz w:val="24"/>
          <w:szCs w:val="24"/>
        </w:rPr>
        <w:t xml:space="preserve">7.1.1 </w:t>
      </w:r>
      <w:r>
        <w:rPr>
          <w:rFonts w:hint="default" w:ascii="仿宋" w:hAnsi="仿宋" w:eastAsia="仿宋"/>
          <w:color w:val="000000"/>
          <w:position w:val="0"/>
          <w:sz w:val="24"/>
          <w:szCs w:val="24"/>
        </w:rPr>
        <w:t>合同当事人约定的施工组织设计应包括的其他内容：</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auto"/>
          <w:position w:val="0"/>
          <w:sz w:val="24"/>
          <w:szCs w:val="24"/>
        </w:rPr>
        <w:t>7.1.2</w:t>
      </w:r>
      <w:r>
        <w:rPr>
          <w:rFonts w:hint="default" w:ascii="仿宋" w:hAnsi="仿宋" w:eastAsia="仿宋"/>
          <w:color w:val="000000"/>
          <w:position w:val="0"/>
          <w:sz w:val="24"/>
          <w:szCs w:val="24"/>
        </w:rPr>
        <w:t xml:space="preserve"> 施工组织设计的提交和修改</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000000"/>
          <w:position w:val="0"/>
          <w:sz w:val="24"/>
          <w:szCs w:val="24"/>
        </w:rPr>
        <w:t>承包人提交详细施工组织设计的期限的约定：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发包人和监理人在收到详细的施工组织设计后确认或提出修改意见的期限：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w:t>
      </w:r>
      <w:bookmarkStart w:id="169" w:name="_Toc297123514"/>
      <w:bookmarkStart w:id="170" w:name="_Toc297216173"/>
      <w:bookmarkStart w:id="171" w:name="_Toc303539123"/>
      <w:bookmarkStart w:id="172" w:name="_Toc312677479"/>
      <w:bookmarkStart w:id="173" w:name="_Toc312678005"/>
      <w:bookmarkStart w:id="174" w:name="_Toc304295541"/>
      <w:bookmarkStart w:id="175" w:name="_Toc300934966"/>
      <w:r>
        <w:rPr>
          <w:rFonts w:hint="default" w:ascii="仿宋" w:hAnsi="仿宋" w:eastAsia="仿宋"/>
          <w:color w:val="000000"/>
          <w:position w:val="0"/>
          <w:sz w:val="24"/>
          <w:szCs w:val="24"/>
        </w:rPr>
        <w:t>.2 施工进度计划</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7.2.2 施工进度计划的修订</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发包人和监理人在收到修订的施工进度计划后确认或提出修改意见的期限：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7.3 开工</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7.3.1 开工准备</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u w:val="single"/>
        </w:rPr>
      </w:pPr>
      <w:r>
        <w:rPr>
          <w:rFonts w:hint="default" w:ascii="仿宋" w:hAnsi="仿宋" w:eastAsia="仿宋"/>
          <w:color w:val="000000"/>
          <w:position w:val="0"/>
          <w:sz w:val="24"/>
          <w:szCs w:val="24"/>
        </w:rPr>
        <w:t>关于承包人提交工程开工报审表的期限：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关于发包人应完成的其他开工准备工作及期限：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000000"/>
          <w:position w:val="0"/>
          <w:sz w:val="24"/>
          <w:szCs w:val="24"/>
        </w:rPr>
        <w:t>关于承包人应完成的其他开工准备工作及期限：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7.3.2开工通知</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因发包人原因造成监理人未能在计划开工日期之日起</w:t>
      </w:r>
      <w:r>
        <w:rPr>
          <w:rFonts w:hint="default" w:ascii="仿宋" w:hAnsi="仿宋" w:eastAsia="仿宋"/>
          <w:color w:val="auto"/>
          <w:position w:val="0"/>
          <w:sz w:val="24"/>
          <w:szCs w:val="24"/>
          <w:u w:val="single"/>
        </w:rPr>
        <w:t xml:space="preserve">     </w:t>
      </w:r>
      <w:r>
        <w:rPr>
          <w:rFonts w:hint="default" w:ascii="仿宋" w:hAnsi="仿宋" w:eastAsia="仿宋"/>
          <w:color w:val="000000"/>
          <w:position w:val="0"/>
          <w:sz w:val="24"/>
          <w:szCs w:val="24"/>
        </w:rPr>
        <w:t>天内发出开工通知的，承包人有权提出价格调整要求，或者解除合同。</w:t>
      </w:r>
      <w:bookmarkEnd w:id="169"/>
      <w:bookmarkEnd w:id="170"/>
      <w:bookmarkEnd w:id="171"/>
      <w:bookmarkEnd w:id="172"/>
      <w:bookmarkEnd w:id="173"/>
      <w:bookmarkEnd w:id="174"/>
      <w:bookmarkEnd w:id="17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7.4 测量放线</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u w:val="single"/>
        </w:rPr>
      </w:pPr>
      <w:r>
        <w:rPr>
          <w:rFonts w:hint="default" w:ascii="仿宋" w:hAnsi="仿宋" w:eastAsia="仿宋"/>
          <w:color w:val="auto"/>
          <w:position w:val="0"/>
          <w:sz w:val="24"/>
          <w:szCs w:val="24"/>
        </w:rPr>
        <w:t>7.4.1发包人通过监理人向承包人提供测量基准点、基准线和水准点及其书面资料的期限：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w:t>
      </w:r>
      <w:bookmarkStart w:id="176" w:name="_Toc312678010"/>
      <w:bookmarkStart w:id="177" w:name="_Toc297123516"/>
      <w:bookmarkStart w:id="178" w:name="_Toc297216175"/>
      <w:bookmarkStart w:id="179" w:name="_Toc300934968"/>
      <w:bookmarkStart w:id="180" w:name="_Toc303539125"/>
      <w:bookmarkStart w:id="181" w:name="_Toc304295546"/>
      <w:bookmarkStart w:id="182" w:name="_Toc312677484"/>
      <w:r>
        <w:rPr>
          <w:rFonts w:hint="default" w:ascii="仿宋" w:hAnsi="仿宋" w:eastAsia="仿宋"/>
          <w:color w:val="000000"/>
          <w:position w:val="0"/>
          <w:sz w:val="24"/>
          <w:szCs w:val="24"/>
        </w:rPr>
        <w:t>.5 工期延误</w:t>
      </w:r>
      <w:bookmarkEnd w:id="176"/>
      <w:bookmarkEnd w:id="177"/>
      <w:bookmarkEnd w:id="178"/>
      <w:bookmarkEnd w:id="179"/>
      <w:bookmarkEnd w:id="180"/>
      <w:bookmarkEnd w:id="181"/>
      <w:bookmarkEnd w:id="182"/>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7.5.1 因发包人原因导致工期延误</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（7）因发包人原因导致工期延误的其他情形：</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7</w:t>
      </w:r>
      <w:bookmarkStart w:id="183" w:name="_Toc312678012"/>
      <w:bookmarkStart w:id="184" w:name="_Toc318581169"/>
      <w:bookmarkStart w:id="185" w:name="_Toc312677486"/>
      <w:bookmarkStart w:id="186" w:name="_Toc300934970"/>
      <w:bookmarkStart w:id="187" w:name="_Toc304295548"/>
      <w:bookmarkStart w:id="188" w:name="_Toc303539127"/>
      <w:bookmarkStart w:id="189" w:name="_Toc297123518"/>
      <w:bookmarkStart w:id="190" w:name="_Toc297216177"/>
      <w:r>
        <w:rPr>
          <w:rFonts w:hint="default" w:ascii="仿宋" w:hAnsi="仿宋" w:eastAsia="仿宋"/>
          <w:color w:val="auto"/>
          <w:position w:val="0"/>
          <w:sz w:val="24"/>
          <w:szCs w:val="24"/>
        </w:rPr>
        <w:t>.5.2 因承包人原因导致工期延误</w:t>
      </w:r>
      <w:bookmarkEnd w:id="183"/>
      <w:bookmarkEnd w:id="184"/>
      <w:bookmarkEnd w:id="185"/>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因</w:t>
      </w:r>
      <w:bookmarkStart w:id="191" w:name="_Toc312677487"/>
      <w:bookmarkStart w:id="192" w:name="_Toc312678013"/>
      <w:bookmarkStart w:id="193" w:name="_Toc318581170"/>
      <w:r>
        <w:rPr>
          <w:rFonts w:hint="default" w:ascii="仿宋" w:hAnsi="仿宋" w:eastAsia="仿宋"/>
          <w:color w:val="auto"/>
          <w:position w:val="0"/>
          <w:sz w:val="24"/>
          <w:szCs w:val="24"/>
        </w:rPr>
        <w:t>承包人原因造成工期延误，逾期竣工违约金的计算方法为：</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bookmarkEnd w:id="186"/>
      <w:bookmarkEnd w:id="187"/>
      <w:bookmarkEnd w:id="188"/>
      <w:bookmarkEnd w:id="189"/>
      <w:bookmarkEnd w:id="190"/>
      <w:bookmarkEnd w:id="191"/>
      <w:bookmarkEnd w:id="192"/>
      <w:bookmarkEnd w:id="193"/>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因承包人原因造成工期延误，逾</w:t>
      </w:r>
      <w:bookmarkStart w:id="194" w:name="_Toc312678014"/>
      <w:bookmarkStart w:id="195" w:name="_Toc318581171"/>
      <w:r>
        <w:rPr>
          <w:rFonts w:hint="default" w:ascii="仿宋" w:hAnsi="仿宋" w:eastAsia="仿宋"/>
          <w:color w:val="auto"/>
          <w:position w:val="0"/>
          <w:sz w:val="24"/>
          <w:szCs w:val="24"/>
        </w:rPr>
        <w:t>期竣工违约金的上限：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bookmarkEnd w:id="194"/>
      <w:bookmarkEnd w:id="19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w:t>
      </w:r>
      <w:bookmarkStart w:id="196" w:name="_Toc304295549"/>
      <w:bookmarkStart w:id="197" w:name="_Toc300934971"/>
      <w:bookmarkStart w:id="198" w:name="_Toc312678015"/>
      <w:bookmarkStart w:id="199" w:name="_Toc297123519"/>
      <w:bookmarkStart w:id="200" w:name="_Toc297216178"/>
      <w:bookmarkStart w:id="201" w:name="_Toc303539128"/>
      <w:r>
        <w:rPr>
          <w:rFonts w:hint="default" w:ascii="仿宋" w:hAnsi="仿宋" w:eastAsia="仿宋"/>
          <w:color w:val="000000"/>
          <w:position w:val="0"/>
          <w:sz w:val="24"/>
          <w:szCs w:val="24"/>
        </w:rPr>
        <w:t>.6 不</w:t>
      </w:r>
      <w:bookmarkEnd w:id="196"/>
      <w:bookmarkEnd w:id="197"/>
      <w:bookmarkEnd w:id="198"/>
      <w:bookmarkEnd w:id="199"/>
      <w:bookmarkEnd w:id="200"/>
      <w:bookmarkEnd w:id="201"/>
      <w:r>
        <w:rPr>
          <w:rFonts w:hint="default" w:ascii="仿宋" w:hAnsi="仿宋" w:eastAsia="仿宋"/>
          <w:color w:val="000000"/>
          <w:position w:val="0"/>
          <w:sz w:val="24"/>
          <w:szCs w:val="24"/>
        </w:rPr>
        <w:t>利物质条件</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u w:val="single"/>
        </w:rPr>
      </w:pPr>
      <w:bookmarkStart w:id="202" w:name="_Toc318581172"/>
      <w:bookmarkStart w:id="203" w:name="_Toc304295550"/>
      <w:bookmarkStart w:id="204" w:name="_Toc300934972"/>
      <w:bookmarkStart w:id="205" w:name="_Toc303539129"/>
      <w:bookmarkStart w:id="206" w:name="_Toc312678016"/>
      <w:bookmarkStart w:id="207" w:name="_Toc297123520"/>
      <w:bookmarkStart w:id="208" w:name="_Toc297216179"/>
      <w:r>
        <w:rPr>
          <w:rFonts w:hint="default" w:ascii="仿宋" w:hAnsi="仿宋" w:eastAsia="仿宋"/>
          <w:color w:val="auto"/>
          <w:position w:val="0"/>
          <w:sz w:val="24"/>
          <w:szCs w:val="24"/>
        </w:rPr>
        <w:t>不利物质条件的其他情形和有关约定：</w:t>
      </w:r>
      <w:r>
        <w:rPr>
          <w:rFonts w:hint="default" w:ascii="仿宋" w:hAnsi="仿宋" w:eastAsia="仿宋"/>
          <w:color w:val="auto"/>
          <w:position w:val="0"/>
          <w:sz w:val="24"/>
          <w:szCs w:val="24"/>
          <w:u w:val="single"/>
        </w:rPr>
        <w:t xml:space="preserve">           </w:t>
      </w:r>
      <w:bookmarkEnd w:id="202"/>
      <w:bookmarkEnd w:id="203"/>
      <w:bookmarkEnd w:id="204"/>
      <w:bookmarkEnd w:id="205"/>
      <w:bookmarkEnd w:id="206"/>
      <w:bookmarkEnd w:id="207"/>
      <w:bookmarkEnd w:id="208"/>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w:t>
      </w:r>
      <w:bookmarkStart w:id="209" w:name="_Toc303539130"/>
      <w:bookmarkStart w:id="210" w:name="_Toc312678017"/>
      <w:bookmarkStart w:id="211" w:name="_Toc297216180"/>
      <w:bookmarkStart w:id="212" w:name="_Toc300934973"/>
      <w:bookmarkStart w:id="213" w:name="_Toc304295551"/>
      <w:bookmarkStart w:id="214" w:name="_Toc297123521"/>
      <w:r>
        <w:rPr>
          <w:rFonts w:hint="default" w:ascii="仿宋" w:hAnsi="仿宋" w:eastAsia="仿宋"/>
          <w:color w:val="000000"/>
          <w:position w:val="0"/>
          <w:sz w:val="24"/>
          <w:szCs w:val="24"/>
        </w:rPr>
        <w:t>.7异常恶劣的气候条件</w:t>
      </w:r>
      <w:bookmarkEnd w:id="209"/>
      <w:bookmarkEnd w:id="210"/>
      <w:bookmarkEnd w:id="211"/>
      <w:bookmarkEnd w:id="212"/>
      <w:bookmarkEnd w:id="213"/>
      <w:bookmarkEnd w:id="214"/>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发包人和承包人同意以下情形视为异常恶劣的气候条件：</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（2）</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（3）</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7.9 提前竣工的奖励</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7.9.2提前竣工的奖励：</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215" w:name="_Toc351203640"/>
      <w:r>
        <w:rPr>
          <w:rFonts w:hint="default" w:ascii="仿宋" w:hAnsi="仿宋" w:eastAsia="仿宋"/>
          <w:color w:val="000000"/>
          <w:position w:val="0"/>
          <w:sz w:val="24"/>
          <w:szCs w:val="24"/>
        </w:rPr>
        <w:t>8. 材料与设备</w:t>
      </w:r>
      <w:bookmarkEnd w:id="150"/>
      <w:bookmarkEnd w:id="151"/>
      <w:bookmarkEnd w:id="152"/>
      <w:bookmarkEnd w:id="153"/>
      <w:bookmarkEnd w:id="154"/>
      <w:bookmarkEnd w:id="155"/>
      <w:bookmarkEnd w:id="156"/>
      <w:bookmarkEnd w:id="157"/>
      <w:bookmarkEnd w:id="158"/>
      <w:bookmarkEnd w:id="159"/>
      <w:bookmarkEnd w:id="21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8</w:t>
      </w:r>
      <w:bookmarkStart w:id="216" w:name="_Toc280868654"/>
      <w:bookmarkStart w:id="217" w:name="_Toc292559372"/>
      <w:bookmarkStart w:id="218" w:name="_Toc292559877"/>
      <w:bookmarkStart w:id="219" w:name="_Toc296346668"/>
      <w:bookmarkStart w:id="220" w:name="_Toc296347166"/>
      <w:bookmarkStart w:id="221" w:name="_Toc296503167"/>
      <w:bookmarkStart w:id="222" w:name="_Toc296890995"/>
      <w:bookmarkStart w:id="223" w:name="_Toc296891207"/>
      <w:bookmarkStart w:id="224" w:name="_Toc296944506"/>
      <w:bookmarkStart w:id="225" w:name="_Toc297048353"/>
      <w:bookmarkStart w:id="226" w:name="_Toc297120467"/>
      <w:bookmarkStart w:id="227" w:name="_Toc297123527"/>
      <w:bookmarkStart w:id="228" w:name="_Toc297216186"/>
      <w:bookmarkStart w:id="229" w:name="_Toc300934979"/>
      <w:bookmarkStart w:id="230" w:name="_Toc303539136"/>
      <w:bookmarkStart w:id="231" w:name="_Toc304295556"/>
      <w:bookmarkStart w:id="232" w:name="_Toc312677493"/>
      <w:bookmarkStart w:id="233" w:name="_Toc312678019"/>
      <w:bookmarkStart w:id="234" w:name="_Toc280868656"/>
      <w:bookmarkStart w:id="235" w:name="_Toc267251424"/>
      <w:bookmarkStart w:id="236" w:name="_Toc280868655"/>
      <w:r>
        <w:rPr>
          <w:rFonts w:hint="default" w:ascii="仿宋" w:hAnsi="仿宋" w:eastAsia="仿宋"/>
          <w:color w:val="000000"/>
          <w:position w:val="0"/>
          <w:sz w:val="24"/>
          <w:szCs w:val="24"/>
        </w:rPr>
        <w:t>.4材料与工程设备的保管与使用</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8</w:t>
      </w:r>
      <w:bookmarkStart w:id="237" w:name="_Toc292559373"/>
      <w:bookmarkStart w:id="238" w:name="_Toc292559878"/>
      <w:bookmarkStart w:id="239" w:name="_Toc304295557"/>
      <w:bookmarkStart w:id="240" w:name="_Toc303539137"/>
      <w:bookmarkStart w:id="241" w:name="_Toc312677494"/>
      <w:bookmarkStart w:id="242" w:name="_Toc312678020"/>
      <w:bookmarkStart w:id="243" w:name="_Toc318581173"/>
      <w:bookmarkStart w:id="244" w:name="_Toc296346669"/>
      <w:bookmarkStart w:id="245" w:name="_Toc296347167"/>
      <w:bookmarkStart w:id="246" w:name="_Toc296503168"/>
      <w:bookmarkStart w:id="247" w:name="_Toc296890996"/>
      <w:bookmarkStart w:id="248" w:name="_Toc296891208"/>
      <w:bookmarkStart w:id="249" w:name="_Toc297048354"/>
      <w:bookmarkStart w:id="250" w:name="_Toc296944507"/>
      <w:bookmarkStart w:id="251" w:name="_Toc297123528"/>
      <w:bookmarkStart w:id="252" w:name="_Toc297120468"/>
      <w:bookmarkStart w:id="253" w:name="_Toc300934980"/>
      <w:bookmarkStart w:id="254" w:name="_Toc297216187"/>
      <w:r>
        <w:rPr>
          <w:rFonts w:hint="default" w:ascii="仿宋" w:hAnsi="仿宋" w:eastAsia="仿宋"/>
          <w:color w:val="auto"/>
          <w:position w:val="0"/>
          <w:sz w:val="24"/>
          <w:szCs w:val="24"/>
        </w:rPr>
        <w:t>.4.1发包人供应的材料设备的保管费用的承担：</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bookmarkEnd w:id="237"/>
      <w:bookmarkEnd w:id="238"/>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8.6 样品</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8.6.1</w:t>
      </w:r>
      <w:r>
        <w:rPr>
          <w:rFonts w:hint="default" w:ascii="仿宋" w:hAnsi="仿宋" w:eastAsia="仿宋"/>
          <w:color w:val="000000"/>
          <w:position w:val="0"/>
          <w:sz w:val="24"/>
          <w:szCs w:val="24"/>
        </w:rPr>
        <w:tab/>
      </w:r>
      <w:r>
        <w:rPr>
          <w:rFonts w:hint="default" w:ascii="仿宋" w:hAnsi="仿宋" w:eastAsia="仿宋"/>
          <w:color w:val="000000"/>
          <w:position w:val="0"/>
          <w:sz w:val="24"/>
          <w:szCs w:val="24"/>
        </w:rPr>
        <w:t>样品的报送与封存</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000000"/>
          <w:position w:val="0"/>
          <w:sz w:val="24"/>
          <w:szCs w:val="24"/>
        </w:rPr>
        <w:t>需要承包人报送样品的材料或工程设备，样品的种类、名称、规格、数量要求：</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8.8 施工设备和临时设施</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8.8.1 承包人提供的施工设备和临时设施</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关于修建临时设施费用承担的约定：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255" w:name="_Toc351203641"/>
      <w:r>
        <w:rPr>
          <w:rFonts w:hint="default" w:ascii="仿宋" w:hAnsi="仿宋" w:eastAsia="仿宋"/>
          <w:color w:val="000000"/>
          <w:position w:val="0"/>
          <w:sz w:val="24"/>
          <w:szCs w:val="24"/>
        </w:rPr>
        <w:t>9</w:t>
      </w:r>
      <w:bookmarkEnd w:id="234"/>
      <w:bookmarkEnd w:id="235"/>
      <w:bookmarkEnd w:id="236"/>
      <w:bookmarkStart w:id="256" w:name="_Toc297123533"/>
      <w:bookmarkStart w:id="257" w:name="_Toc297216192"/>
      <w:bookmarkStart w:id="258" w:name="_Toc300934982"/>
      <w:bookmarkStart w:id="259" w:name="_Toc303539139"/>
      <w:bookmarkStart w:id="260" w:name="_Toc304295559"/>
      <w:bookmarkStart w:id="261" w:name="_Toc312677495"/>
      <w:bookmarkStart w:id="262" w:name="_Toc312678021"/>
      <w:bookmarkStart w:id="263" w:name="_Toc297048359"/>
      <w:bookmarkStart w:id="264" w:name="_Toc296944512"/>
      <w:bookmarkStart w:id="265" w:name="_Toc296891213"/>
      <w:bookmarkStart w:id="266" w:name="_Toc267251427"/>
      <w:bookmarkStart w:id="267" w:name="_Toc292559883"/>
      <w:bookmarkStart w:id="268" w:name="_Toc296503173"/>
      <w:bookmarkStart w:id="269" w:name="_Toc296346674"/>
      <w:bookmarkStart w:id="270" w:name="_Toc267251428"/>
      <w:bookmarkStart w:id="271" w:name="_Toc292559378"/>
      <w:bookmarkStart w:id="272" w:name="_Toc296347172"/>
      <w:bookmarkStart w:id="273" w:name="_Toc296891001"/>
      <w:bookmarkStart w:id="274" w:name="_Toc297120473"/>
      <w:r>
        <w:rPr>
          <w:rFonts w:hint="default" w:ascii="仿宋" w:hAnsi="仿宋" w:eastAsia="仿宋"/>
          <w:color w:val="000000"/>
          <w:position w:val="0"/>
          <w:sz w:val="24"/>
          <w:szCs w:val="24"/>
        </w:rPr>
        <w:t>. 试验与检验</w:t>
      </w:r>
      <w:bookmarkEnd w:id="255"/>
      <w:bookmarkEnd w:id="256"/>
      <w:bookmarkEnd w:id="257"/>
      <w:bookmarkEnd w:id="258"/>
      <w:bookmarkEnd w:id="259"/>
      <w:bookmarkEnd w:id="260"/>
      <w:bookmarkEnd w:id="261"/>
      <w:bookmarkEnd w:id="262"/>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9</w:t>
      </w:r>
      <w:bookmarkStart w:id="275" w:name="_Toc312678022"/>
      <w:bookmarkStart w:id="276" w:name="_Toc304295560"/>
      <w:bookmarkStart w:id="277" w:name="_Toc312677496"/>
      <w:bookmarkStart w:id="278" w:name="_Toc297123534"/>
      <w:bookmarkStart w:id="279" w:name="_Toc303539140"/>
      <w:bookmarkStart w:id="280" w:name="_Toc297216193"/>
      <w:bookmarkStart w:id="281" w:name="_Toc300934983"/>
      <w:r>
        <w:rPr>
          <w:rFonts w:hint="default" w:ascii="仿宋" w:hAnsi="仿宋" w:eastAsia="仿宋"/>
          <w:color w:val="000000"/>
          <w:position w:val="0"/>
          <w:sz w:val="24"/>
          <w:szCs w:val="24"/>
        </w:rPr>
        <w:t>.1试验设备与试验人员</w:t>
      </w:r>
      <w:bookmarkEnd w:id="275"/>
      <w:bookmarkEnd w:id="276"/>
      <w:bookmarkEnd w:id="277"/>
      <w:bookmarkEnd w:id="278"/>
      <w:bookmarkEnd w:id="279"/>
      <w:bookmarkEnd w:id="280"/>
      <w:bookmarkEnd w:id="281"/>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9</w:t>
      </w:r>
      <w:bookmarkStart w:id="282" w:name="_Toc304295561"/>
      <w:bookmarkStart w:id="283" w:name="_Toc312678023"/>
      <w:bookmarkStart w:id="284" w:name="_Toc312677497"/>
      <w:bookmarkStart w:id="285" w:name="_Toc297123535"/>
      <w:bookmarkStart w:id="286" w:name="_Toc300934984"/>
      <w:bookmarkStart w:id="287" w:name="_Toc297216194"/>
      <w:bookmarkStart w:id="288" w:name="_Toc303539141"/>
      <w:bookmarkStart w:id="289" w:name="_Toc318581174"/>
      <w:r>
        <w:rPr>
          <w:rFonts w:hint="default" w:ascii="仿宋" w:hAnsi="仿宋" w:eastAsia="仿宋"/>
          <w:color w:val="auto"/>
          <w:position w:val="0"/>
          <w:sz w:val="24"/>
          <w:szCs w:val="24"/>
        </w:rPr>
        <w:t>.1.2 试验设备</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施工现场需要配置的试验场所：</w:t>
      </w:r>
      <w:bookmarkEnd w:id="282"/>
      <w:bookmarkEnd w:id="283"/>
      <w:bookmarkEnd w:id="284"/>
      <w:bookmarkEnd w:id="285"/>
      <w:bookmarkEnd w:id="286"/>
      <w:bookmarkEnd w:id="287"/>
      <w:bookmarkEnd w:id="288"/>
      <w:bookmarkStart w:id="290" w:name="_Toc297216195"/>
      <w:bookmarkStart w:id="291" w:name="_Toc303539142"/>
      <w:bookmarkStart w:id="292" w:name="_Toc312678024"/>
      <w:bookmarkStart w:id="293" w:name="_Toc300934985"/>
      <w:bookmarkStart w:id="294" w:name="_Toc297123536"/>
      <w:bookmarkStart w:id="295" w:name="_Toc312677498"/>
      <w:bookmarkStart w:id="296" w:name="_Toc304295562"/>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施工现场需要配备的试验设备：</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施工现场需要具备的其他试验条件：</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9.4 现场工艺试验 </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现场工艺试验的有关约定：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bookmarkEnd w:id="289"/>
    <w:bookmarkEnd w:id="290"/>
    <w:bookmarkEnd w:id="291"/>
    <w:bookmarkEnd w:id="292"/>
    <w:bookmarkEnd w:id="293"/>
    <w:bookmarkEnd w:id="294"/>
    <w:bookmarkEnd w:id="295"/>
    <w:bookmarkEnd w:id="296"/>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297" w:name="_Toc351203642"/>
      <w:r>
        <w:rPr>
          <w:rFonts w:hint="default" w:ascii="仿宋" w:hAnsi="仿宋" w:eastAsia="仿宋"/>
          <w:color w:val="000000"/>
          <w:position w:val="0"/>
          <w:sz w:val="24"/>
          <w:szCs w:val="24"/>
        </w:rPr>
        <w:t>1</w:t>
      </w:r>
      <w:bookmarkEnd w:id="263"/>
      <w:bookmarkEnd w:id="264"/>
      <w:bookmarkEnd w:id="265"/>
      <w:bookmarkEnd w:id="266"/>
      <w:bookmarkEnd w:id="267"/>
      <w:bookmarkEnd w:id="268"/>
      <w:bookmarkEnd w:id="269"/>
      <w:bookmarkEnd w:id="270"/>
      <w:bookmarkEnd w:id="271"/>
      <w:bookmarkEnd w:id="272"/>
      <w:bookmarkEnd w:id="273"/>
      <w:bookmarkEnd w:id="274"/>
      <w:bookmarkStart w:id="298" w:name="_Toc292559398"/>
      <w:bookmarkStart w:id="299" w:name="_Toc292559903"/>
      <w:bookmarkStart w:id="300" w:name="_Toc296346694"/>
      <w:bookmarkStart w:id="301" w:name="_Toc296347192"/>
      <w:bookmarkStart w:id="302" w:name="_Toc296503193"/>
      <w:bookmarkStart w:id="303" w:name="_Toc296891021"/>
      <w:bookmarkStart w:id="304" w:name="_Toc296891233"/>
      <w:bookmarkStart w:id="305" w:name="_Toc296944532"/>
      <w:bookmarkStart w:id="306" w:name="_Toc297048379"/>
      <w:bookmarkStart w:id="307" w:name="_Toc297120493"/>
      <w:bookmarkStart w:id="308" w:name="_Toc297123540"/>
      <w:bookmarkStart w:id="309" w:name="_Toc297216199"/>
      <w:bookmarkStart w:id="310" w:name="_Toc300934989"/>
      <w:bookmarkStart w:id="311" w:name="_Toc303539146"/>
      <w:bookmarkStart w:id="312" w:name="_Toc304295566"/>
      <w:bookmarkStart w:id="313" w:name="_Toc312677499"/>
      <w:bookmarkStart w:id="314" w:name="_Toc312678025"/>
      <w:bookmarkStart w:id="315" w:name="_Toc267251433"/>
      <w:bookmarkStart w:id="316" w:name="_Toc267251435"/>
      <w:bookmarkStart w:id="317" w:name="_Toc267251437"/>
      <w:bookmarkStart w:id="318" w:name="_Toc267251439"/>
      <w:bookmarkStart w:id="319" w:name="_Toc267251440"/>
      <w:bookmarkStart w:id="320" w:name="_Toc267251441"/>
      <w:bookmarkStart w:id="321" w:name="_Toc267251442"/>
      <w:r>
        <w:rPr>
          <w:rFonts w:hint="default" w:ascii="仿宋" w:hAnsi="仿宋" w:eastAsia="仿宋"/>
          <w:color w:val="000000"/>
          <w:position w:val="0"/>
          <w:sz w:val="24"/>
          <w:szCs w:val="24"/>
        </w:rPr>
        <w:t>0. 变更</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w:t>
      </w:r>
      <w:bookmarkStart w:id="322" w:name="_Toc297120494"/>
      <w:bookmarkStart w:id="323" w:name="_Toc297216200"/>
      <w:bookmarkStart w:id="324" w:name="_Toc296891234"/>
      <w:bookmarkStart w:id="325" w:name="_Toc303539147"/>
      <w:bookmarkStart w:id="326" w:name="_Toc304295567"/>
      <w:bookmarkStart w:id="327" w:name="_Toc312677500"/>
      <w:bookmarkStart w:id="328" w:name="_Toc296347193"/>
      <w:bookmarkStart w:id="329" w:name="_Toc312678026"/>
      <w:bookmarkStart w:id="330" w:name="_Toc297048380"/>
      <w:bookmarkStart w:id="331" w:name="_Toc292559399"/>
      <w:bookmarkStart w:id="332" w:name="_Toc300934990"/>
      <w:bookmarkStart w:id="333" w:name="_Toc296346695"/>
      <w:bookmarkStart w:id="334" w:name="_Toc296503194"/>
      <w:bookmarkStart w:id="335" w:name="_Toc296891022"/>
      <w:bookmarkStart w:id="336" w:name="_Toc297123541"/>
      <w:bookmarkStart w:id="337" w:name="_Toc296944533"/>
      <w:bookmarkStart w:id="338" w:name="_Toc292559904"/>
      <w:r>
        <w:rPr>
          <w:rFonts w:hint="default" w:ascii="仿宋" w:hAnsi="仿宋" w:eastAsia="仿宋"/>
          <w:color w:val="000000"/>
          <w:position w:val="0"/>
          <w:sz w:val="24"/>
          <w:szCs w:val="24"/>
        </w:rPr>
        <w:t>0.1变更的范围</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关于变更的范围的约定：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10.4 变更估价</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10.4.1 变更估价原则</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 xml:space="preserve">关于变更估价的约定: </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Start w:id="339" w:name="_Toc297123544"/>
      <w:bookmarkStart w:id="340" w:name="_Toc303539150"/>
      <w:bookmarkStart w:id="341" w:name="_Toc297120497"/>
      <w:bookmarkStart w:id="342" w:name="_Toc297216203"/>
      <w:bookmarkStart w:id="343" w:name="_Toc296503197"/>
      <w:bookmarkStart w:id="344" w:name="_Toc296891025"/>
      <w:bookmarkStart w:id="345" w:name="_Toc292559402"/>
      <w:bookmarkStart w:id="346" w:name="_Toc296347196"/>
      <w:bookmarkStart w:id="347" w:name="_Toc296891237"/>
      <w:bookmarkStart w:id="348" w:name="_Toc292559907"/>
      <w:bookmarkStart w:id="349" w:name="_Toc300934993"/>
      <w:bookmarkStart w:id="350" w:name="_Toc296944536"/>
      <w:bookmarkStart w:id="351" w:name="_Toc297048383"/>
      <w:bookmarkStart w:id="352" w:name="_Toc296346698"/>
      <w:bookmarkStart w:id="353" w:name="_Toc304295570"/>
      <w:bookmarkStart w:id="354" w:name="_Toc312678029"/>
      <w:bookmarkStart w:id="355" w:name="_Toc312677503"/>
      <w:r>
        <w:rPr>
          <w:rFonts w:hint="default" w:ascii="仿宋" w:hAnsi="仿宋" w:eastAsia="仿宋"/>
          <w:color w:val="000000"/>
          <w:position w:val="0"/>
          <w:sz w:val="24"/>
          <w:szCs w:val="24"/>
        </w:rPr>
        <w:t>0.5承</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Start w:id="356" w:name="_Toc296503203"/>
      <w:bookmarkStart w:id="357" w:name="_Toc297120503"/>
      <w:bookmarkStart w:id="358" w:name="_Toc296347202"/>
      <w:bookmarkStart w:id="359" w:name="_Toc296891031"/>
      <w:bookmarkStart w:id="360" w:name="_Toc292559408"/>
      <w:bookmarkStart w:id="361" w:name="_Toc297048389"/>
      <w:bookmarkStart w:id="362" w:name="_Toc296891243"/>
      <w:bookmarkStart w:id="363" w:name="_Toc292559913"/>
      <w:bookmarkStart w:id="364" w:name="_Toc297123545"/>
      <w:bookmarkStart w:id="365" w:name="_Toc297216204"/>
      <w:bookmarkStart w:id="366" w:name="_Toc296944542"/>
      <w:bookmarkStart w:id="367" w:name="_Toc296346704"/>
      <w:bookmarkStart w:id="368" w:name="_Toc303539151"/>
      <w:bookmarkStart w:id="369" w:name="_Toc300934994"/>
      <w:r>
        <w:rPr>
          <w:rFonts w:hint="default" w:ascii="仿宋" w:hAnsi="仿宋" w:eastAsia="仿宋"/>
          <w:color w:val="000000"/>
          <w:position w:val="0"/>
          <w:sz w:val="24"/>
          <w:szCs w:val="24"/>
        </w:rPr>
        <w:t>包人的合理化建议</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监理人审查承包人合理化建议的期限：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发包人审批承包人合理化建议的期限：</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u w:val="single"/>
        </w:rPr>
      </w:pPr>
      <w:r>
        <w:rPr>
          <w:rFonts w:hint="default" w:ascii="仿宋" w:hAnsi="仿宋" w:eastAsia="仿宋"/>
          <w:color w:val="auto"/>
          <w:position w:val="0"/>
          <w:sz w:val="24"/>
          <w:szCs w:val="24"/>
        </w:rPr>
        <w:t>承</w:t>
      </w:r>
      <w:bookmarkStart w:id="370" w:name="_Toc296346705"/>
      <w:bookmarkStart w:id="371" w:name="_Toc296347203"/>
      <w:bookmarkStart w:id="372" w:name="_Toc296503204"/>
      <w:bookmarkStart w:id="373" w:name="_Toc296891032"/>
      <w:bookmarkStart w:id="374" w:name="_Toc297123546"/>
      <w:bookmarkStart w:id="375" w:name="_Toc297216205"/>
      <w:bookmarkStart w:id="376" w:name="_Toc300934995"/>
      <w:bookmarkStart w:id="377" w:name="_Toc303539152"/>
      <w:bookmarkStart w:id="378" w:name="_Toc312677504"/>
      <w:bookmarkStart w:id="379" w:name="_Toc312678030"/>
      <w:bookmarkStart w:id="380" w:name="_Toc296891244"/>
      <w:bookmarkStart w:id="381" w:name="_Toc296944543"/>
      <w:bookmarkStart w:id="382" w:name="_Toc304295571"/>
      <w:bookmarkStart w:id="383" w:name="_Toc297048390"/>
      <w:bookmarkStart w:id="384" w:name="_Toc297120504"/>
      <w:bookmarkStart w:id="385" w:name="_Toc318581175"/>
      <w:bookmarkStart w:id="386" w:name="_Toc292559409"/>
      <w:bookmarkStart w:id="387" w:name="_Toc292559914"/>
      <w:r>
        <w:rPr>
          <w:rFonts w:hint="default" w:ascii="仿宋" w:hAnsi="仿宋" w:eastAsia="仿宋"/>
          <w:color w:val="auto"/>
          <w:position w:val="0"/>
          <w:sz w:val="24"/>
          <w:szCs w:val="24"/>
        </w:rPr>
        <w:t>包人提出的合理化建议降低了合同价格或者提高了工程经济效益的奖励的方法和金额为：</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w:t>
      </w:r>
      <w:bookmarkStart w:id="388" w:name="_Toc300934997"/>
      <w:bookmarkStart w:id="389" w:name="_Toc296891239"/>
      <w:bookmarkStart w:id="390" w:name="_Toc297120499"/>
      <w:bookmarkStart w:id="391" w:name="_Toc312677507"/>
      <w:bookmarkStart w:id="392" w:name="_Toc297048385"/>
      <w:bookmarkStart w:id="393" w:name="_Toc297123548"/>
      <w:bookmarkStart w:id="394" w:name="_Toc303539154"/>
      <w:bookmarkStart w:id="395" w:name="_Toc312678033"/>
      <w:bookmarkStart w:id="396" w:name="_Toc297216207"/>
      <w:bookmarkStart w:id="397" w:name="_Toc304295574"/>
      <w:bookmarkStart w:id="398" w:name="_Toc296346700"/>
      <w:bookmarkStart w:id="399" w:name="_Toc292559404"/>
      <w:bookmarkStart w:id="400" w:name="_Toc296944538"/>
      <w:bookmarkStart w:id="401" w:name="_Toc292559909"/>
      <w:bookmarkStart w:id="402" w:name="_Toc296891027"/>
      <w:bookmarkStart w:id="403" w:name="_Toc296503199"/>
      <w:bookmarkStart w:id="404" w:name="_Toc296347198"/>
      <w:r>
        <w:rPr>
          <w:rFonts w:hint="default" w:ascii="仿宋" w:hAnsi="仿宋" w:eastAsia="仿宋"/>
          <w:color w:val="000000"/>
          <w:position w:val="0"/>
          <w:sz w:val="24"/>
          <w:szCs w:val="24"/>
        </w:rPr>
        <w:t>0.7 暂估价</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暂</w:t>
      </w:r>
      <w:bookmarkStart w:id="405" w:name="_Toc318581176"/>
      <w:bookmarkStart w:id="406" w:name="_Toc312677508"/>
      <w:bookmarkStart w:id="407" w:name="_Toc312678034"/>
      <w:r>
        <w:rPr>
          <w:rFonts w:hint="default" w:ascii="仿宋" w:hAnsi="仿宋" w:eastAsia="仿宋"/>
          <w:color w:val="auto"/>
          <w:position w:val="0"/>
          <w:sz w:val="24"/>
          <w:szCs w:val="24"/>
        </w:rPr>
        <w:t>估价材料和工程设备的明细详见附件11：《</w:t>
      </w:r>
      <w:r>
        <w:rPr>
          <w:rFonts w:hint="default" w:ascii="仿宋" w:hAnsi="仿宋" w:eastAsia="仿宋"/>
          <w:color w:val="000000"/>
          <w:position w:val="0"/>
          <w:sz w:val="24"/>
          <w:szCs w:val="24"/>
        </w:rPr>
        <w:t>暂估价一览表》</w:t>
      </w:r>
      <w:r>
        <w:rPr>
          <w:rFonts w:hint="default" w:ascii="仿宋" w:hAnsi="仿宋" w:eastAsia="仿宋"/>
          <w:color w:val="auto"/>
          <w:position w:val="0"/>
          <w:sz w:val="24"/>
          <w:szCs w:val="24"/>
        </w:rPr>
        <w:t>。</w:t>
      </w:r>
      <w:bookmarkEnd w:id="405"/>
      <w:bookmarkEnd w:id="406"/>
      <w:bookmarkEnd w:id="407"/>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w:t>
      </w:r>
      <w:bookmarkStart w:id="408" w:name="_Toc312677509"/>
      <w:bookmarkStart w:id="409" w:name="_Toc312678035"/>
      <w:bookmarkStart w:id="410" w:name="_Toc318581177"/>
      <w:r>
        <w:rPr>
          <w:rFonts w:hint="default" w:ascii="仿宋" w:hAnsi="仿宋" w:eastAsia="仿宋"/>
          <w:color w:val="auto"/>
          <w:position w:val="0"/>
          <w:sz w:val="24"/>
          <w:szCs w:val="24"/>
        </w:rPr>
        <w:t>0.7.1 依法必须招标的暂估价项目</w:t>
      </w:r>
      <w:bookmarkEnd w:id="408"/>
      <w:bookmarkEnd w:id="409"/>
      <w:bookmarkEnd w:id="410"/>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对于依法必须招标的暂估价项目的确认和批准采取第</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种方式确定。</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10.7.2 不属于依法必须招标的暂估价项目</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对于不属于依法必须招标的暂估价项目的确认和批准采取第</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 xml:space="preserve"> 种方式确定。</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第3种方式：承包人直接实施的暂估价项目</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承包人直接实施的暂估价项目的约定：</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10.8 暂列金额</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合同当事人关于暂列金额使用的约定：</w:t>
      </w:r>
      <w:r>
        <w:rPr>
          <w:rFonts w:hint="default" w:ascii="仿宋" w:hAnsi="仿宋" w:eastAsia="仿宋"/>
          <w:color w:val="auto"/>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411" w:name="_Toc351203643"/>
      <w:r>
        <w:rPr>
          <w:rFonts w:hint="default" w:ascii="仿宋" w:hAnsi="仿宋" w:eastAsia="仿宋"/>
          <w:color w:val="000000"/>
          <w:position w:val="0"/>
          <w:sz w:val="24"/>
          <w:szCs w:val="24"/>
        </w:rPr>
        <w:t>11. 价格调整</w:t>
      </w:r>
      <w:bookmarkEnd w:id="411"/>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bookmarkStart w:id="412" w:name="_Toc296347200"/>
      <w:bookmarkStart w:id="413" w:name="_Toc297216209"/>
      <w:bookmarkStart w:id="414" w:name="_Toc303539157"/>
      <w:bookmarkStart w:id="415" w:name="_Toc296891241"/>
      <w:bookmarkStart w:id="416" w:name="_Toc297048387"/>
      <w:bookmarkStart w:id="417" w:name="_Toc296503201"/>
      <w:bookmarkStart w:id="418" w:name="_Toc300935000"/>
      <w:bookmarkStart w:id="419" w:name="_Toc292559911"/>
      <w:bookmarkStart w:id="420" w:name="_Toc292559406"/>
      <w:bookmarkStart w:id="421" w:name="_Toc296891029"/>
      <w:bookmarkStart w:id="422" w:name="_Toc304295577"/>
      <w:bookmarkStart w:id="423" w:name="_Toc297123550"/>
      <w:bookmarkStart w:id="424" w:name="_Toc296944540"/>
      <w:bookmarkStart w:id="425" w:name="_Toc297120501"/>
      <w:bookmarkStart w:id="426" w:name="_Toc312678039"/>
      <w:bookmarkStart w:id="427" w:name="_Toc296346702"/>
      <w:r>
        <w:rPr>
          <w:rFonts w:hint="default" w:ascii="仿宋" w:hAnsi="仿宋" w:eastAsia="仿宋"/>
          <w:color w:val="000000"/>
          <w:position w:val="0"/>
          <w:sz w:val="24"/>
          <w:szCs w:val="24"/>
        </w:rPr>
        <w:t>11.1 市场价格波动引起的调整</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市场价格波动是否调整合同价格的约定：</w:t>
      </w:r>
      <w:r>
        <w:rPr>
          <w:rFonts w:hint="default" w:ascii="仿宋" w:hAnsi="仿宋" w:eastAsia="仿宋"/>
          <w:color w:val="auto"/>
          <w:position w:val="0"/>
          <w:sz w:val="24"/>
          <w:szCs w:val="24"/>
          <w:u w:val="single"/>
        </w:rPr>
        <w:t xml:space="preserve">  </w:t>
      </w:r>
      <w:r>
        <w:rPr>
          <w:rFonts w:hint="default" w:ascii="仿宋" w:hAnsi="仿宋" w:eastAsia="仿宋"/>
          <w:b/>
          <w:color w:val="auto"/>
          <w:position w:val="0"/>
          <w:sz w:val="24"/>
          <w:szCs w:val="24"/>
          <w:u w:val="single"/>
        </w:rPr>
        <w:t>不调整</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因市场价格波动调整合同价格，采用以下</w:t>
      </w:r>
      <w:r>
        <w:rPr>
          <w:rFonts w:hint="default" w:ascii="仿宋" w:hAnsi="仿宋" w:eastAsia="仿宋"/>
          <w:color w:val="auto"/>
          <w:position w:val="0"/>
          <w:sz w:val="24"/>
          <w:szCs w:val="24"/>
        </w:rPr>
        <w:t>第</w:t>
      </w:r>
      <w:r>
        <w:rPr>
          <w:rFonts w:hint="default" w:ascii="仿宋" w:hAnsi="仿宋" w:eastAsia="仿宋"/>
          <w:color w:val="auto"/>
          <w:position w:val="0"/>
          <w:sz w:val="24"/>
          <w:szCs w:val="24"/>
          <w:u w:val="single"/>
        </w:rPr>
        <w:t xml:space="preserve">  /  </w:t>
      </w:r>
      <w:r>
        <w:rPr>
          <w:rFonts w:hint="default" w:ascii="仿宋" w:hAnsi="仿宋" w:eastAsia="仿宋"/>
          <w:color w:val="000000"/>
          <w:position w:val="0"/>
          <w:sz w:val="24"/>
          <w:szCs w:val="24"/>
        </w:rPr>
        <w:t>种方式对合同价格进行调整：</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第1种方式：采用价格指数进行价格调整。</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关于各可调因子、定值和变值权重，以及基本价格指数及其来源的约定：</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第2种方式：采用造价信息进行价格调整。</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（2）关于基准价格的约定：</w:t>
      </w:r>
      <w:r>
        <w:rPr>
          <w:rFonts w:hint="default" w:ascii="仿宋" w:hAnsi="仿宋" w:eastAsia="仿宋"/>
          <w:color w:val="auto"/>
          <w:position w:val="0"/>
          <w:sz w:val="24"/>
          <w:szCs w:val="24"/>
          <w:u w:val="single"/>
        </w:rPr>
        <w:t xml:space="preserve">    /  </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专用合同条款①承包人在已标价工程量清单或预算书中载明的材料单价低于基准价格的：专用合同条款合同履行期间材料单价涨幅以基准价格为基础超过</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%时，或材料单价跌幅以已标价工程量清单或预算书中载明材料单价为基础超过</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%时，其超过部分据实调整。</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②承包人在已标价工程量清单或预算书中载明的材料单价高于基准价格的：专用合同条款合同履行期间材料单价跌幅以基准价格为基础超过</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%时，材料单价涨幅以已标价工程量清单或预算书中载明材料单价为基础超过</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%时，其超过部分据实调整。</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③承包人在已标价工程量清单或预算书中载明的材料单价等于基准单价的：专用合同条款合同履行期间材料单价涨跌幅以基准单价为基础超过±</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%时，其超过部分据实调整。</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第3种方式：其他价格调整方式：</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bookmarkEnd w:id="315"/>
    <w:bookmarkEnd w:id="316"/>
    <w:bookmarkEnd w:id="317"/>
    <w:bookmarkEnd w:id="318"/>
    <w:bookmarkEnd w:id="319"/>
    <w:bookmarkEnd w:id="320"/>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428" w:name="_Toc297048391"/>
      <w:bookmarkStart w:id="429" w:name="_Toc296944544"/>
      <w:bookmarkStart w:id="430" w:name="_Toc292559915"/>
      <w:bookmarkStart w:id="431" w:name="_Toc296891245"/>
      <w:bookmarkStart w:id="432" w:name="_Toc297120505"/>
      <w:bookmarkStart w:id="433" w:name="_Toc296347204"/>
      <w:bookmarkStart w:id="434" w:name="_Toc296503205"/>
      <w:bookmarkStart w:id="435" w:name="_Toc292559410"/>
      <w:bookmarkStart w:id="436" w:name="_Toc296891033"/>
      <w:bookmarkStart w:id="437" w:name="_Toc296346706"/>
      <w:bookmarkStart w:id="438" w:name="_Toc351203644"/>
      <w:bookmarkStart w:id="439" w:name="_Toc312678040"/>
      <w:bookmarkStart w:id="440" w:name="_Toc297123552"/>
      <w:bookmarkStart w:id="441" w:name="_Toc297216211"/>
      <w:bookmarkStart w:id="442" w:name="_Toc300935002"/>
      <w:bookmarkStart w:id="443" w:name="_Toc303539159"/>
      <w:bookmarkStart w:id="444" w:name="_Toc304295579"/>
      <w:r>
        <w:rPr>
          <w:rFonts w:hint="default" w:ascii="仿宋" w:hAnsi="仿宋" w:eastAsia="仿宋"/>
          <w:color w:val="000000"/>
          <w:position w:val="0"/>
          <w:sz w:val="24"/>
          <w:szCs w:val="24"/>
        </w:rPr>
        <w:t xml:space="preserve">12. </w:t>
      </w:r>
      <w:bookmarkEnd w:id="428"/>
      <w:bookmarkEnd w:id="429"/>
      <w:bookmarkEnd w:id="430"/>
      <w:bookmarkEnd w:id="431"/>
      <w:bookmarkEnd w:id="432"/>
      <w:bookmarkEnd w:id="433"/>
      <w:bookmarkEnd w:id="434"/>
      <w:bookmarkEnd w:id="435"/>
      <w:bookmarkEnd w:id="436"/>
      <w:bookmarkEnd w:id="437"/>
      <w:r>
        <w:rPr>
          <w:rFonts w:hint="default" w:ascii="仿宋" w:hAnsi="仿宋" w:eastAsia="仿宋"/>
          <w:color w:val="000000"/>
          <w:position w:val="0"/>
          <w:sz w:val="24"/>
          <w:szCs w:val="24"/>
        </w:rPr>
        <w:t>合同价格、计量与支付</w:t>
      </w:r>
      <w:bookmarkEnd w:id="438"/>
    </w:p>
    <w:bookmarkEnd w:id="439"/>
    <w:bookmarkEnd w:id="440"/>
    <w:bookmarkEnd w:id="441"/>
    <w:bookmarkEnd w:id="442"/>
    <w:bookmarkEnd w:id="443"/>
    <w:bookmarkEnd w:id="444"/>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bookmarkStart w:id="445" w:name="_Toc267251461"/>
      <w:bookmarkStart w:id="446" w:name="_Toc292559411"/>
      <w:bookmarkStart w:id="447" w:name="_Toc292559916"/>
      <w:bookmarkStart w:id="448" w:name="_Toc296346707"/>
      <w:bookmarkStart w:id="449" w:name="_Toc296347205"/>
      <w:bookmarkStart w:id="450" w:name="_Toc296503206"/>
      <w:bookmarkStart w:id="451" w:name="_Toc296891034"/>
      <w:bookmarkStart w:id="452" w:name="_Toc296891246"/>
      <w:bookmarkStart w:id="453" w:name="_Toc296944545"/>
      <w:bookmarkStart w:id="454" w:name="_Toc297048392"/>
      <w:bookmarkStart w:id="455" w:name="_Toc297120506"/>
      <w:bookmarkStart w:id="456" w:name="_Toc297123553"/>
      <w:bookmarkStart w:id="457" w:name="_Toc297216212"/>
      <w:bookmarkStart w:id="458" w:name="_Toc300935003"/>
      <w:bookmarkStart w:id="459" w:name="_Toc303539160"/>
      <w:bookmarkStart w:id="460" w:name="_Toc304295580"/>
      <w:bookmarkStart w:id="461" w:name="_Toc312678041"/>
      <w:r>
        <w:rPr>
          <w:rFonts w:hint="default" w:ascii="仿宋" w:hAnsi="仿宋" w:eastAsia="仿宋"/>
          <w:color w:val="000000"/>
          <w:position w:val="0"/>
          <w:sz w:val="24"/>
          <w:szCs w:val="24"/>
        </w:rPr>
        <w:t>12.1 合</w:t>
      </w:r>
      <w:bookmarkEnd w:id="445"/>
      <w:bookmarkEnd w:id="446"/>
      <w:bookmarkEnd w:id="447"/>
      <w:r>
        <w:rPr>
          <w:rFonts w:hint="default" w:ascii="仿宋" w:hAnsi="仿宋" w:eastAsia="仿宋"/>
          <w:color w:val="000000"/>
          <w:position w:val="0"/>
          <w:sz w:val="24"/>
          <w:szCs w:val="24"/>
        </w:rPr>
        <w:t>同价</w:t>
      </w:r>
      <w:bookmarkEnd w:id="448"/>
      <w:bookmarkEnd w:id="449"/>
      <w:bookmarkEnd w:id="450"/>
      <w:bookmarkEnd w:id="451"/>
      <w:bookmarkEnd w:id="452"/>
      <w:bookmarkEnd w:id="453"/>
      <w:bookmarkEnd w:id="454"/>
      <w:bookmarkEnd w:id="455"/>
      <w:r>
        <w:rPr>
          <w:rFonts w:hint="default" w:ascii="仿宋" w:hAnsi="仿宋" w:eastAsia="仿宋"/>
          <w:color w:val="000000"/>
          <w:position w:val="0"/>
          <w:sz w:val="24"/>
          <w:szCs w:val="24"/>
        </w:rPr>
        <w:t>格形式</w:t>
      </w:r>
      <w:bookmarkEnd w:id="456"/>
      <w:bookmarkEnd w:id="457"/>
      <w:bookmarkEnd w:id="458"/>
      <w:bookmarkEnd w:id="459"/>
      <w:bookmarkEnd w:id="460"/>
      <w:bookmarkEnd w:id="461"/>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1、单价合同。</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综合单价包含的风险范围：</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风险费用的计算方法：</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风险范围以外合同价格的调整方法：</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2、总价合同。</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总价包含的风险范围：</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风险费用的计算方法：</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风险范围以外合同价格的调整方法：</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3、其他价格方式：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bookmarkStart w:id="462" w:name="_Toc297216213"/>
      <w:bookmarkStart w:id="463" w:name="_Toc300935004"/>
      <w:bookmarkStart w:id="464" w:name="_Toc303539161"/>
      <w:bookmarkStart w:id="465" w:name="_Toc304295581"/>
      <w:bookmarkStart w:id="466" w:name="_Toc312678042"/>
      <w:bookmarkStart w:id="467" w:name="_Toc297123554"/>
      <w:bookmarkStart w:id="468" w:name="_Toc292559412"/>
      <w:bookmarkStart w:id="469" w:name="_Toc292559917"/>
      <w:bookmarkStart w:id="470" w:name="_Toc296346708"/>
      <w:bookmarkStart w:id="471" w:name="_Toc296347206"/>
      <w:bookmarkStart w:id="472" w:name="_Toc296503207"/>
      <w:bookmarkStart w:id="473" w:name="_Toc296891035"/>
      <w:bookmarkStart w:id="474" w:name="_Toc296891247"/>
      <w:bookmarkStart w:id="475" w:name="_Toc296944546"/>
      <w:bookmarkStart w:id="476" w:name="_Toc297048393"/>
      <w:bookmarkStart w:id="477" w:name="_Toc297120507"/>
      <w:r>
        <w:rPr>
          <w:rFonts w:hint="default" w:ascii="仿宋" w:hAnsi="仿宋" w:eastAsia="仿宋"/>
          <w:color w:val="000000"/>
          <w:position w:val="0"/>
          <w:sz w:val="24"/>
          <w:szCs w:val="24"/>
        </w:rPr>
        <w:t>12.2 预付款</w:t>
      </w:r>
      <w:bookmarkEnd w:id="462"/>
      <w:bookmarkEnd w:id="463"/>
      <w:bookmarkEnd w:id="464"/>
      <w:bookmarkEnd w:id="465"/>
      <w:bookmarkEnd w:id="466"/>
      <w:bookmarkEnd w:id="467"/>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12.2.1 预付款的支付</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预付款支付比例或金额：</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预付款支付期限：</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预付款扣回的方式：</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12.2.2 预付款担保</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承包人提交预付款担保的期限：</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预付款担保的形式为：</w:t>
      </w:r>
      <w:r>
        <w:rPr>
          <w:rFonts w:hint="default" w:ascii="仿宋" w:hAnsi="仿宋" w:eastAsia="仿宋"/>
          <w:color w:val="000000"/>
          <w:position w:val="0"/>
          <w:sz w:val="24"/>
          <w:szCs w:val="24"/>
          <w:u w:val="single"/>
        </w:rPr>
        <w:t xml:space="preserve">      /    </w:t>
      </w:r>
      <w:r>
        <w:rPr>
          <w:rFonts w:hint="default" w:ascii="仿宋" w:hAnsi="仿宋" w:eastAsia="仿宋"/>
          <w:color w:val="000000"/>
          <w:position w:val="0"/>
          <w:sz w:val="24"/>
          <w:szCs w:val="24"/>
        </w:rPr>
        <w:t>。</w:t>
      </w:r>
      <w:bookmarkEnd w:id="468"/>
      <w:bookmarkEnd w:id="469"/>
      <w:bookmarkEnd w:id="470"/>
      <w:bookmarkEnd w:id="471"/>
      <w:bookmarkEnd w:id="472"/>
      <w:bookmarkEnd w:id="473"/>
      <w:bookmarkEnd w:id="474"/>
      <w:bookmarkEnd w:id="475"/>
      <w:bookmarkEnd w:id="476"/>
      <w:bookmarkEnd w:id="477"/>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12.3 计量</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12.3.1 计量原则</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工程量计算规则：</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12.3.2 计量周期</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关于计量周期的约定：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12.3.3 单价合同的计量</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关于单价合同计量的约定：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12.3.4 总价合同的计量</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关于总价合同计量的约定：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12.3.5总价合同采用支付分解表计量支付的，是否适用第12.3.4 项〔总价合同的计量〕约定进行计量：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12.3.6 其他价格形式合同的计量</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其他价格形式的计量方式和程序：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12.4 工程进度款支付</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bookmarkStart w:id="478" w:name="_Toc296891039"/>
      <w:bookmarkStart w:id="479" w:name="_Toc296347210"/>
      <w:bookmarkStart w:id="480" w:name="_Toc292559416"/>
      <w:bookmarkStart w:id="481" w:name="_Toc297123556"/>
      <w:bookmarkStart w:id="482" w:name="_Toc297216215"/>
      <w:bookmarkStart w:id="483" w:name="_Toc300935006"/>
      <w:bookmarkStart w:id="484" w:name="_Toc296891251"/>
      <w:bookmarkStart w:id="485" w:name="_Toc296944550"/>
      <w:bookmarkStart w:id="486" w:name="_Toc297048397"/>
      <w:bookmarkStart w:id="487" w:name="_Toc297120511"/>
      <w:bookmarkStart w:id="488" w:name="_Toc296346712"/>
      <w:bookmarkStart w:id="489" w:name="_Toc296503211"/>
      <w:bookmarkStart w:id="490" w:name="_Toc303539163"/>
      <w:bookmarkStart w:id="491" w:name="_Toc292559921"/>
      <w:r>
        <w:rPr>
          <w:rFonts w:hint="default" w:ascii="仿宋" w:hAnsi="仿宋" w:eastAsia="仿宋"/>
          <w:color w:val="000000"/>
          <w:position w:val="0"/>
          <w:sz w:val="24"/>
          <w:szCs w:val="24"/>
        </w:rPr>
        <w:t>12.4.1 付款周期</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关于付款周期的约定：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12.4.2 进度付款申请单的编制</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关于进度付款申请单编制的约定：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Pr>
          <w:rFonts w:hint="default" w:ascii="仿宋" w:hAnsi="仿宋" w:eastAsia="仿宋"/>
          <w:color w:val="000000"/>
          <w:position w:val="0"/>
          <w:sz w:val="24"/>
          <w:szCs w:val="24"/>
        </w:rPr>
        <w:t>2.4.3 进度付款申请单的提交</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（1）单价合同进度付款申请单提交的约定：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（2）总价合同进度付款申请单提交的约定：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（3）其他价格形式合同进度付款申请单提交的约定：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12.4.4 进度款审核和支付</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（1）监理人审查并报送发包人的期限：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发包人完成审批并签发进度款支付证书的期限：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（2）发包人支付进度款的期限：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发包人逾期支付进度款的违约金的计算方式：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12.4.6 支付分解表的编制</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2、总价合同支付分解表的编制与审批：</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3、单价合同的总价项目支付分解表的编制与审批：</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bookmarkEnd w:id="321"/>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492" w:name="_Toc351203645"/>
      <w:bookmarkStart w:id="493" w:name="_Toc292559424"/>
      <w:bookmarkStart w:id="494" w:name="_Toc292559929"/>
      <w:bookmarkStart w:id="495" w:name="_Toc296346720"/>
      <w:bookmarkStart w:id="496" w:name="_Toc296347218"/>
      <w:bookmarkStart w:id="497" w:name="_Toc296503219"/>
      <w:bookmarkStart w:id="498" w:name="_Toc296891047"/>
      <w:bookmarkStart w:id="499" w:name="_Toc296891259"/>
      <w:bookmarkStart w:id="500" w:name="_Toc296944558"/>
      <w:bookmarkStart w:id="501" w:name="_Toc297048405"/>
      <w:bookmarkStart w:id="502" w:name="_Toc297120519"/>
      <w:bookmarkStart w:id="503" w:name="_Toc297123564"/>
      <w:bookmarkStart w:id="504" w:name="_Toc297216223"/>
      <w:bookmarkStart w:id="505" w:name="_Toc300935015"/>
      <w:bookmarkStart w:id="506" w:name="_Toc303539172"/>
      <w:bookmarkStart w:id="507" w:name="_Toc304295593"/>
      <w:bookmarkStart w:id="508" w:name="_Toc312678053"/>
      <w:r>
        <w:rPr>
          <w:rFonts w:hint="default" w:ascii="仿宋" w:hAnsi="仿宋" w:eastAsia="仿宋"/>
          <w:color w:val="000000"/>
          <w:position w:val="0"/>
          <w:sz w:val="24"/>
          <w:szCs w:val="24"/>
        </w:rPr>
        <w:t>13. 验收和工程试车</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13.1 分部分项工程验收</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13.1.2监理人不能按时进行验收时，应提前</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小时提交书面延期要求。</w:t>
      </w:r>
    </w:p>
    <w:p>
      <w:pPr>
        <w:numPr>
          <w:ilvl w:val="0"/>
          <w:numId w:val="0"/>
        </w:numPr>
        <w:autoSpaceDE/>
        <w:autoSpaceDN/>
        <w:snapToGrid w:val="0"/>
        <w:spacing w:before="0" w:after="0" w:line="360" w:lineRule="auto"/>
        <w:ind w:right="0" w:firstLine="480"/>
        <w:jc w:val="both"/>
        <w:rPr>
          <w:rFonts w:hint="default" w:ascii="仿宋" w:hAnsi="宋体" w:eastAsia="宋体"/>
          <w:b/>
          <w:color w:val="000000"/>
          <w:position w:val="0"/>
          <w:sz w:val="24"/>
          <w:szCs w:val="24"/>
        </w:rPr>
      </w:pPr>
      <w:r>
        <w:rPr>
          <w:rFonts w:hint="default" w:ascii="仿宋" w:hAnsi="仿宋" w:eastAsia="仿宋"/>
          <w:color w:val="auto"/>
          <w:position w:val="0"/>
          <w:sz w:val="24"/>
          <w:szCs w:val="24"/>
        </w:rPr>
        <w:t>关于延期最长不得超过：</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小时。</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bookmarkStart w:id="509" w:name="_Toc292559428"/>
      <w:bookmarkStart w:id="510" w:name="_Toc292559933"/>
      <w:bookmarkStart w:id="511" w:name="_Toc296346724"/>
      <w:bookmarkStart w:id="512" w:name="_Toc296347222"/>
      <w:bookmarkStart w:id="513" w:name="_Toc296503223"/>
      <w:bookmarkStart w:id="514" w:name="_Toc296891051"/>
      <w:bookmarkStart w:id="515" w:name="_Toc296891263"/>
      <w:bookmarkStart w:id="516" w:name="_Toc296944562"/>
      <w:bookmarkStart w:id="517" w:name="_Toc297048409"/>
      <w:bookmarkStart w:id="518" w:name="_Toc297120523"/>
      <w:bookmarkStart w:id="519" w:name="_Toc297123565"/>
      <w:bookmarkStart w:id="520" w:name="_Toc297216224"/>
      <w:bookmarkStart w:id="521" w:name="_Toc300935016"/>
      <w:bookmarkStart w:id="522" w:name="_Toc303539173"/>
      <w:bookmarkStart w:id="523" w:name="_Toc304295596"/>
      <w:bookmarkStart w:id="524" w:name="_Toc312678056"/>
      <w:bookmarkStart w:id="525" w:name="_Toc267251476"/>
      <w:bookmarkStart w:id="526" w:name="_Toc267251475"/>
      <w:bookmarkStart w:id="527" w:name="_Toc267251474"/>
      <w:bookmarkStart w:id="528" w:name="_Toc267251473"/>
      <w:bookmarkStart w:id="529" w:name="_Toc267251472"/>
      <w:bookmarkStart w:id="530" w:name="_Toc267251471"/>
      <w:bookmarkStart w:id="531" w:name="_Toc267251470"/>
      <w:r>
        <w:rPr>
          <w:rFonts w:hint="default" w:ascii="仿宋" w:hAnsi="仿宋" w:eastAsia="仿宋"/>
          <w:color w:val="000000"/>
          <w:position w:val="0"/>
          <w:sz w:val="24"/>
          <w:szCs w:val="24"/>
        </w:rPr>
        <w:t>13.2 竣工验收</w:t>
      </w:r>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bookmarkStart w:id="532" w:name="_Toc280868704"/>
      <w:bookmarkStart w:id="533" w:name="_Toc280868705"/>
      <w:bookmarkStart w:id="534" w:name="_Toc280868706"/>
      <w:bookmarkStart w:id="535" w:name="_Toc280868707"/>
      <w:bookmarkStart w:id="536" w:name="_Toc280868708"/>
      <w:bookmarkStart w:id="537" w:name="_Toc280868709"/>
      <w:r>
        <w:rPr>
          <w:rFonts w:hint="default" w:ascii="仿宋" w:hAnsi="仿宋" w:eastAsia="仿宋"/>
          <w:color w:val="000000"/>
          <w:position w:val="0"/>
          <w:sz w:val="24"/>
          <w:szCs w:val="24"/>
        </w:rPr>
        <w:t>13.2.2竣工验收程序</w:t>
      </w:r>
      <w:bookmarkEnd w:id="532"/>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关于竣工验收程序的约定：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发包人不按照本项约定组织竣工验收、颁发工程接收证书的违约金的计算方法：</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bookmarkEnd w:id="533"/>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13.2.5移交、接收全部与部分工程</w:t>
      </w:r>
      <w:bookmarkEnd w:id="534"/>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承包人向发包人移交工程的期限：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发包人未按本合同约定接收全部或部分工程的，违约金的计算方法为：</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bookmarkEnd w:id="53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承包人未按时移交工程的，违约金的计算方法为：</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13.3 工程试车</w:t>
      </w:r>
      <w:bookmarkEnd w:id="536"/>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13.3.1 试车程序</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工程试车内容：</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（1）单机无负荷试车费用由</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承担；</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（2）无负荷联动试车费用由</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承担。</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13.3.3 投料试车</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关于投料试车相关事项的约定：</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13.6 竣工退场</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13.6.1 竣工退场</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承包人完成竣工退场的期限：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538" w:name="_Toc351203646"/>
      <w:r>
        <w:rPr>
          <w:rFonts w:hint="default" w:ascii="仿宋" w:hAnsi="仿宋" w:eastAsia="仿宋"/>
          <w:color w:val="000000"/>
          <w:position w:val="0"/>
          <w:sz w:val="24"/>
          <w:szCs w:val="24"/>
        </w:rPr>
        <w:t>14. 竣工结算</w:t>
      </w:r>
      <w:bookmarkEnd w:id="538"/>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14.1 竣工付款申请</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auto"/>
          <w:position w:val="0"/>
          <w:sz w:val="24"/>
          <w:szCs w:val="24"/>
        </w:rPr>
        <w:t>承包人提交竣工付款申请单的期限：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000000"/>
          <w:position w:val="0"/>
          <w:sz w:val="24"/>
          <w:szCs w:val="24"/>
        </w:rPr>
        <w:t>竣工付款申请单应包括的内容：</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14.2 竣工结算审核</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发包人审批竣工付款申请单的期限：</w:t>
      </w:r>
      <w:r>
        <w:rPr>
          <w:rFonts w:hint="default" w:ascii="仿宋" w:hAnsi="仿宋" w:eastAsia="仿宋"/>
          <w:color w:val="000000"/>
          <w:position w:val="0"/>
          <w:sz w:val="24"/>
          <w:szCs w:val="24"/>
          <w:u w:val="single"/>
        </w:rPr>
        <w:t>收到真实完整的结算资料并经终审审计完成报鄂旅投总部审批后30天内</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auto"/>
          <w:position w:val="0"/>
          <w:sz w:val="24"/>
          <w:szCs w:val="24"/>
        </w:rPr>
        <w:t>发包人完成竣工付款的期限：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关于竣工付款证书异议部分复核的方式和程序：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14.4 最终结清</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14.4.1 最终结清申请单</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承包人提交最终结清申请单的份数：</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000000"/>
          <w:position w:val="0"/>
          <w:sz w:val="24"/>
          <w:szCs w:val="24"/>
        </w:rPr>
        <w:t>承包人提交最终结算申请单的期限：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r>
        <w:rPr>
          <w:rFonts w:hint="default" w:ascii="仿宋" w:hAnsi="仿宋" w:eastAsia="仿宋"/>
          <w:color w:val="auto"/>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14.4.2 最终结清证书和支付</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（1）发包人完成最终结清申请单的审批并颁发最终结清证书的期限：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auto"/>
          <w:position w:val="0"/>
          <w:sz w:val="24"/>
          <w:szCs w:val="24"/>
        </w:rPr>
      </w:pPr>
      <w:r>
        <w:rPr>
          <w:rFonts w:hint="default" w:ascii="仿宋" w:hAnsi="仿宋" w:eastAsia="仿宋"/>
          <w:color w:val="auto"/>
          <w:position w:val="0"/>
          <w:sz w:val="24"/>
          <w:szCs w:val="24"/>
        </w:rPr>
        <w:t>（2）发包人完成支付的期限：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bookmarkEnd w:id="525"/>
    <w:bookmarkEnd w:id="526"/>
    <w:bookmarkEnd w:id="527"/>
    <w:bookmarkEnd w:id="528"/>
    <w:bookmarkEnd w:id="529"/>
    <w:bookmarkEnd w:id="530"/>
    <w:bookmarkEnd w:id="531"/>
    <w:bookmarkEnd w:id="537"/>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539" w:name="_Toc351203647"/>
      <w:bookmarkStart w:id="540" w:name="_Toc267251483"/>
      <w:bookmarkStart w:id="541" w:name="_Toc267251482"/>
      <w:bookmarkStart w:id="542" w:name="_Toc267251484"/>
      <w:bookmarkStart w:id="543" w:name="_Toc267251485"/>
      <w:bookmarkStart w:id="544" w:name="_Toc267251490"/>
      <w:bookmarkStart w:id="545" w:name="_Toc267251489"/>
      <w:bookmarkStart w:id="546" w:name="_Toc267251488"/>
      <w:bookmarkStart w:id="547" w:name="_Toc267251486"/>
      <w:bookmarkStart w:id="548" w:name="_Toc267251491"/>
      <w:bookmarkStart w:id="549" w:name="_Toc267251492"/>
      <w:bookmarkStart w:id="550" w:name="_Toc267251497"/>
      <w:bookmarkStart w:id="551" w:name="_Toc267251493"/>
      <w:bookmarkStart w:id="552" w:name="_Toc267251494"/>
      <w:bookmarkStart w:id="553" w:name="_Toc267251495"/>
      <w:bookmarkStart w:id="554" w:name="_Toc267251496"/>
      <w:bookmarkStart w:id="555" w:name="_Toc267251498"/>
      <w:bookmarkStart w:id="556" w:name="_Toc267251499"/>
      <w:bookmarkStart w:id="557" w:name="_Toc267251503"/>
      <w:bookmarkStart w:id="558" w:name="_Toc267251502"/>
      <w:bookmarkStart w:id="559" w:name="_Toc267251501"/>
      <w:bookmarkStart w:id="560" w:name="_Toc267251506"/>
      <w:bookmarkStart w:id="561" w:name="_Toc267251504"/>
      <w:bookmarkStart w:id="562" w:name="_Toc267251507"/>
      <w:bookmarkStart w:id="563" w:name="_Toc267251508"/>
      <w:bookmarkStart w:id="564" w:name="_Toc267251515"/>
      <w:bookmarkStart w:id="565" w:name="_Toc267251509"/>
      <w:bookmarkStart w:id="566" w:name="_Toc267251510"/>
      <w:bookmarkStart w:id="567" w:name="_Toc267251511"/>
      <w:bookmarkStart w:id="568" w:name="_Toc267251514"/>
      <w:bookmarkStart w:id="569" w:name="_Toc267251513"/>
      <w:r>
        <w:rPr>
          <w:rFonts w:hint="default" w:ascii="仿宋" w:hAnsi="仿宋" w:eastAsia="仿宋"/>
          <w:color w:val="000000"/>
          <w:position w:val="0"/>
          <w:sz w:val="24"/>
          <w:szCs w:val="24"/>
        </w:rPr>
        <w:t>15. 缺陷责任期与保修</w:t>
      </w:r>
      <w:bookmarkEnd w:id="539"/>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15.2缺陷责任期</w:t>
      </w:r>
      <w:bookmarkEnd w:id="540"/>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缺陷责任期的具体期限：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15.3 质量保证金</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关于是否扣留质量保证金的约定：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15.3.1 承包人提供质量保证金的方式</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质量保证金采用以下第</w:t>
      </w:r>
      <w:r>
        <w:rPr>
          <w:rFonts w:hint="default" w:ascii="仿宋" w:hAnsi="仿宋" w:eastAsia="仿宋"/>
          <w:color w:val="000000"/>
          <w:position w:val="0"/>
          <w:sz w:val="24"/>
          <w:szCs w:val="24"/>
          <w:u w:val="single"/>
        </w:rPr>
        <w:t xml:space="preserve">   （2）  </w:t>
      </w:r>
      <w:r>
        <w:rPr>
          <w:rFonts w:hint="default" w:ascii="仿宋" w:hAnsi="仿宋" w:eastAsia="仿宋"/>
          <w:color w:val="000000"/>
          <w:position w:val="0"/>
          <w:sz w:val="24"/>
          <w:szCs w:val="24"/>
        </w:rPr>
        <w:t>种方式：</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（1）质量保证金保函，保证金额为：</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w:t>
      </w:r>
      <w:r>
        <w:rPr>
          <w:rFonts w:hint="default" w:ascii="仿宋" w:hAnsi="仿宋" w:eastAsia="仿宋"/>
          <w:color w:val="000000"/>
          <w:position w:val="0"/>
          <w:sz w:val="24"/>
          <w:szCs w:val="24"/>
          <w:u w:val="single"/>
        </w:rPr>
        <w:t xml:space="preserve">   3   </w:t>
      </w:r>
      <w:r>
        <w:rPr>
          <w:rFonts w:hint="default" w:ascii="仿宋" w:hAnsi="仿宋" w:eastAsia="仿宋"/>
          <w:color w:val="000000"/>
          <w:position w:val="0"/>
          <w:sz w:val="24"/>
          <w:szCs w:val="24"/>
        </w:rPr>
        <w:t>%的工程款；</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（3）其他方式: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15.3.2 质量保证金的扣留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质量保证金的扣留采取以下第</w:t>
      </w:r>
      <w:r>
        <w:rPr>
          <w:rFonts w:hint="default" w:ascii="仿宋" w:hAnsi="仿宋" w:eastAsia="仿宋"/>
          <w:color w:val="000000"/>
          <w:position w:val="0"/>
          <w:sz w:val="24"/>
          <w:szCs w:val="24"/>
          <w:u w:val="single"/>
        </w:rPr>
        <w:t xml:space="preserve">  （2）  </w:t>
      </w:r>
      <w:r>
        <w:rPr>
          <w:rFonts w:hint="default" w:ascii="仿宋" w:hAnsi="仿宋" w:eastAsia="仿宋"/>
          <w:color w:val="000000"/>
          <w:position w:val="0"/>
          <w:sz w:val="24"/>
          <w:szCs w:val="24"/>
        </w:rPr>
        <w:t>种方式：</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（1）在支付工程进度款时逐次扣留，在此情形下，质量保证金的计算基数不包括预付款的支付、扣回以及价格调整的金额；</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（2）工程竣工结算时一次性扣留质量保证金；</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（3）其他扣留方式: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关于质量保证金的补充约定：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bookmarkEnd w:id="541"/>
      <w:bookmarkEnd w:id="542"/>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15.4保修</w:t>
      </w:r>
      <w:bookmarkEnd w:id="543"/>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15.4.1 保修责任</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工程保修期为：</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15.4.3 修复通知</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承包人收到保修通知并到达工程现场的合理时间：</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bookmarkEnd w:id="544"/>
    <w:bookmarkEnd w:id="545"/>
    <w:bookmarkEnd w:id="546"/>
    <w:bookmarkEnd w:id="547"/>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570" w:name="_Toc351203648"/>
      <w:bookmarkStart w:id="571" w:name="_Toc280868717"/>
      <w:bookmarkStart w:id="572" w:name="_Toc280868718"/>
      <w:r>
        <w:rPr>
          <w:rFonts w:hint="default" w:ascii="仿宋" w:hAnsi="仿宋" w:eastAsia="仿宋"/>
          <w:color w:val="000000"/>
          <w:position w:val="0"/>
          <w:sz w:val="24"/>
          <w:szCs w:val="24"/>
        </w:rPr>
        <w:t>16. 违约</w:t>
      </w:r>
      <w:bookmarkEnd w:id="570"/>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16.1 发包人违约</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16.1.1发包人违约的情形</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发包人违约的其他情形：</w:t>
      </w:r>
      <w:r>
        <w:rPr>
          <w:rFonts w:hint="default" w:ascii="仿宋" w:hAnsi="仿宋" w:eastAsia="仿宋"/>
          <w:color w:val="000000"/>
          <w:position w:val="0"/>
          <w:sz w:val="24"/>
          <w:szCs w:val="24"/>
          <w:u w:val="single"/>
        </w:rPr>
        <w:t xml:space="preserve">          </w:t>
      </w:r>
    </w:p>
    <w:p>
      <w:pPr>
        <w:numPr>
          <w:ilvl w:val="0"/>
          <w:numId w:val="0"/>
        </w:numPr>
        <w:autoSpaceDE/>
        <w:autoSpaceDN/>
        <w:snapToGrid w:val="0"/>
        <w:spacing w:before="0" w:after="0" w:line="360" w:lineRule="auto"/>
        <w:ind w:right="0" w:firstLine="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    16.1.2 发包人违约的责任</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发包人违约责任的承担方式和计算方法：</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（1）因发包人原因未能在计划开工日期前7天内下达开工通知的违约责任：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（2）因发包人原因未能按合同约定支付合同价款的违约责任：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（3）发包人违反第10.1款〔变更的范围〕第（2）项约定，自行实施被取消的工作或转由他人实施的违约责任：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（4）发包人提供的材料、工程设备的规格、数量或质量不符合合同约定，或因发包人原因导致交货日期延误或交货地点变更等情况的违约责任：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（5）因发包人违反合同约定造成暂停施工的违约责任：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（6）发包人无正当理由没有在约定期限内发出复工指示，导致承包人无法复工的违约责任：</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（7）其他：</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16.1.3 因发包人违约解除合同</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承包人按16.1.1项〔发包人违约的情形〕约定暂停施工满</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天后发包人仍不纠正其违约行为并致使合同目的不能实现的，承包人有权解除合同。</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16.2 承包人违约</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16.2.1 承包人违约的情形</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承包人违约的其他情形：</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16.2.2承包人违约的责任</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承包人违约责任的承担方式和计算方法：</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16.2.3 因承包人违约解除合同</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关于承包人违约解除合同的特别约定：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 xml:space="preserve">发包人继续使用承包人在施工现场的材料、设备、临时工程、承包人文件和由承包人或以其名义编制的其他文件的费用承担方式：  </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573" w:name="_Toc351203649"/>
      <w:r>
        <w:rPr>
          <w:rFonts w:hint="default" w:ascii="仿宋" w:hAnsi="仿宋" w:eastAsia="仿宋"/>
          <w:color w:val="000000"/>
          <w:position w:val="0"/>
          <w:sz w:val="24"/>
          <w:szCs w:val="24"/>
        </w:rPr>
        <w:t>17. 不可抗力</w:t>
      </w:r>
      <w:bookmarkEnd w:id="573"/>
      <w:r>
        <w:rPr>
          <w:rFonts w:hint="default" w:ascii="仿宋" w:hAnsi="仿宋" w:eastAsia="仿宋"/>
          <w:color w:val="000000"/>
          <w:position w:val="0"/>
          <w:sz w:val="24"/>
          <w:szCs w:val="24"/>
        </w:rPr>
        <w:t xml:space="preserve"> </w:t>
      </w:r>
      <w:bookmarkEnd w:id="571"/>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17.1 不可抗力的确认</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 xml:space="preserve">除通用合同条款约定的不可抗力事件之外，视为不可抗力的其他情形： </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17.4 因不可抗力解除合同</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合同解除后，发包人应在商定或确定发包人应支付款项后</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天内完成款项的支付。</w:t>
      </w:r>
    </w:p>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574" w:name="_Toc351203650"/>
      <w:r>
        <w:rPr>
          <w:rFonts w:hint="default" w:ascii="仿宋" w:hAnsi="仿宋" w:eastAsia="仿宋"/>
          <w:color w:val="000000"/>
          <w:position w:val="0"/>
          <w:sz w:val="24"/>
          <w:szCs w:val="24"/>
        </w:rPr>
        <w:t>18. 保险</w:t>
      </w:r>
      <w:bookmarkEnd w:id="572"/>
      <w:bookmarkEnd w:id="574"/>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18.1 工程保险</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关于工程保险的特别约定：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18.3 其他保险</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关于其他保险的约定：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承包人是否应为其施工设备等办理财产保险：</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18.7 通知义务</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关于变更保险合同时的通知义务的约定：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bookmarkEnd w:id="548"/>
    <w:bookmarkEnd w:id="549"/>
    <w:bookmarkEnd w:id="550"/>
    <w:bookmarkEnd w:id="551"/>
    <w:bookmarkEnd w:id="552"/>
    <w:bookmarkEnd w:id="553"/>
    <w:bookmarkEnd w:id="554"/>
    <w:bookmarkEnd w:id="555"/>
    <w:bookmarkEnd w:id="556"/>
    <w:bookmarkEnd w:id="557"/>
    <w:bookmarkEnd w:id="558"/>
    <w:bookmarkEnd w:id="559"/>
    <w:p>
      <w:pPr>
        <w:numPr>
          <w:ilvl w:val="0"/>
          <w:numId w:val="0"/>
        </w:numPr>
        <w:autoSpaceDE/>
        <w:autoSpaceDN/>
        <w:snapToGrid w:val="0"/>
        <w:spacing w:before="0" w:after="200" w:line="240" w:lineRule="auto"/>
        <w:ind w:right="0" w:firstLine="0"/>
        <w:jc w:val="left"/>
        <w:rPr>
          <w:rFonts w:hint="default" w:ascii="仿宋" w:hAnsi="宋体" w:eastAsia="宋体"/>
          <w:b/>
          <w:color w:val="000000"/>
          <w:position w:val="0"/>
          <w:sz w:val="24"/>
          <w:szCs w:val="24"/>
        </w:rPr>
      </w:pPr>
      <w:bookmarkStart w:id="575" w:name="_Toc351203651"/>
      <w:r>
        <w:rPr>
          <w:rFonts w:hint="default" w:ascii="仿宋" w:hAnsi="仿宋" w:eastAsia="仿宋"/>
          <w:color w:val="000000"/>
          <w:position w:val="0"/>
          <w:sz w:val="24"/>
          <w:szCs w:val="24"/>
        </w:rPr>
        <w:t>20. 争议解决</w:t>
      </w:r>
      <w:bookmarkEnd w:id="560"/>
      <w:bookmarkEnd w:id="561"/>
      <w:bookmarkEnd w:id="575"/>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20.3 争</w:t>
      </w:r>
      <w:bookmarkEnd w:id="562"/>
      <w:r>
        <w:rPr>
          <w:rFonts w:hint="default" w:ascii="仿宋" w:hAnsi="仿宋" w:eastAsia="仿宋"/>
          <w:color w:val="000000"/>
          <w:position w:val="0"/>
          <w:sz w:val="24"/>
          <w:szCs w:val="24"/>
        </w:rPr>
        <w:t>议评审</w:t>
      </w:r>
    </w:p>
    <w:p>
      <w:pPr>
        <w:numPr>
          <w:ilvl w:val="0"/>
          <w:numId w:val="0"/>
        </w:numPr>
        <w:autoSpaceDE/>
        <w:autoSpaceDN/>
        <w:snapToGrid w:val="0"/>
        <w:spacing w:before="0" w:after="0" w:line="360" w:lineRule="auto"/>
        <w:ind w:left="156"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合同当事人是否同意将工程争议提交争议评审小组决定：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20.3.1 争议评审小组的确定</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u w:val="single"/>
        </w:rPr>
      </w:pPr>
      <w:r>
        <w:rPr>
          <w:rFonts w:hint="default" w:ascii="仿宋" w:hAnsi="仿宋" w:eastAsia="仿宋"/>
          <w:color w:val="000000"/>
          <w:position w:val="0"/>
          <w:sz w:val="24"/>
          <w:szCs w:val="24"/>
        </w:rPr>
        <w:t>争议评审小组成员的确定：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选定争议评审员的期限：</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争议评审小组成员的报酬承担方式：</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其他事项的约定：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val="0"/>
        <w:autoSpaceDN w:val="0"/>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20.3.2 争议评审小组的决定</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合同当事人关于本项的约定：</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20.4仲裁或诉讼</w:t>
      </w:r>
      <w:bookmarkEnd w:id="563"/>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因合同及合同有关事项发生的争议，按下列第</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种方式解决：</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（1）向</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仲裁委员会申请仲裁；</w:t>
      </w:r>
    </w:p>
    <w:p>
      <w:pPr>
        <w:numPr>
          <w:ilvl w:val="0"/>
          <w:numId w:val="0"/>
        </w:numPr>
        <w:autoSpaceDE/>
        <w:autoSpaceDN/>
        <w:snapToGrid w:val="0"/>
        <w:spacing w:before="0" w:after="0" w:line="360" w:lineRule="auto"/>
        <w:ind w:right="0" w:firstLine="480"/>
        <w:jc w:val="both"/>
        <w:rPr>
          <w:rFonts w:hint="default" w:ascii="仿宋" w:hAnsi="宋体" w:eastAsia="宋体"/>
          <w:color w:val="000000"/>
          <w:position w:val="0"/>
          <w:sz w:val="24"/>
          <w:szCs w:val="24"/>
        </w:rPr>
      </w:pPr>
      <w:r>
        <w:rPr>
          <w:rFonts w:hint="default" w:ascii="仿宋" w:hAnsi="仿宋" w:eastAsia="仿宋"/>
          <w:color w:val="000000"/>
          <w:position w:val="0"/>
          <w:sz w:val="24"/>
          <w:szCs w:val="24"/>
        </w:rPr>
        <w:t>（2）向</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人民法院起诉。</w:t>
      </w:r>
      <w:bookmarkEnd w:id="564"/>
      <w:bookmarkEnd w:id="565"/>
      <w:bookmarkEnd w:id="566"/>
      <w:bookmarkEnd w:id="567"/>
      <w:bookmarkEnd w:id="568"/>
      <w:bookmarkEnd w:id="569"/>
    </w:p>
    <w:p>
      <w:pPr>
        <w:numPr>
          <w:ilvl w:val="0"/>
          <w:numId w:val="0"/>
        </w:numPr>
        <w:autoSpaceDE/>
        <w:autoSpaceDN/>
        <w:snapToGrid w:val="0"/>
        <w:spacing w:before="0" w:after="200" w:line="220" w:lineRule="atLeast"/>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pStyle w:val="3"/>
        <w:numPr>
          <w:ilvl w:val="0"/>
          <w:numId w:val="0"/>
        </w:numPr>
        <w:autoSpaceDE/>
        <w:autoSpaceDN/>
        <w:snapToGrid w:val="0"/>
        <w:spacing w:before="260" w:after="260" w:line="415" w:lineRule="auto"/>
        <w:ind w:right="0" w:firstLine="0"/>
        <w:jc w:val="left"/>
        <w:outlineLvl w:val="1"/>
        <w:rPr>
          <w:rFonts w:hint="default" w:ascii="宋体" w:hAnsi="宋体" w:eastAsia="宋体"/>
          <w:b/>
          <w:color w:val="auto"/>
          <w:position w:val="0"/>
          <w:sz w:val="28"/>
          <w:szCs w:val="28"/>
        </w:rPr>
      </w:pPr>
      <w:bookmarkStart w:id="576" w:name="_Toc144974827"/>
      <w:bookmarkStart w:id="577" w:name="_Toc152042547"/>
      <w:bookmarkStart w:id="578" w:name="_Toc152045768"/>
      <w:bookmarkStart w:id="579" w:name="_Toc179632786"/>
      <w:bookmarkStart w:id="580" w:name="_Toc246996337"/>
      <w:bookmarkStart w:id="581" w:name="_Toc246997080"/>
      <w:bookmarkStart w:id="582" w:name="_Toc247085852"/>
      <w:bookmarkStart w:id="583" w:name="_Toc487731450"/>
      <w:bookmarkStart w:id="584" w:name="_Toc504125543"/>
      <w:r>
        <w:rPr>
          <w:rFonts w:hint="default" w:ascii="宋体" w:hAnsi="宋体" w:eastAsia="宋体"/>
          <w:b/>
          <w:color w:val="auto"/>
          <w:position w:val="0"/>
          <w:sz w:val="28"/>
          <w:szCs w:val="28"/>
        </w:rPr>
        <w:t>附件一：</w:t>
      </w:r>
      <w:bookmarkEnd w:id="576"/>
      <w:bookmarkEnd w:id="577"/>
      <w:bookmarkEnd w:id="578"/>
      <w:bookmarkEnd w:id="579"/>
      <w:bookmarkEnd w:id="580"/>
      <w:bookmarkEnd w:id="581"/>
      <w:bookmarkEnd w:id="582"/>
      <w:r>
        <w:rPr>
          <w:rFonts w:hint="default" w:ascii="宋体" w:hAnsi="宋体" w:eastAsia="宋体"/>
          <w:b/>
          <w:color w:val="auto"/>
          <w:position w:val="0"/>
          <w:sz w:val="28"/>
          <w:szCs w:val="28"/>
        </w:rPr>
        <w:t>湖北省房屋建筑和市政工程建设廉洁协议书</w:t>
      </w:r>
      <w:bookmarkEnd w:id="583"/>
      <w:bookmarkEnd w:id="584"/>
    </w:p>
    <w:p>
      <w:pPr>
        <w:numPr>
          <w:ilvl w:val="0"/>
          <w:numId w:val="0"/>
        </w:numPr>
        <w:autoSpaceDE/>
        <w:autoSpaceDN/>
        <w:snapToGrid w:val="0"/>
        <w:spacing w:before="0" w:after="200" w:line="410" w:lineRule="exact"/>
        <w:ind w:right="0" w:firstLine="482"/>
        <w:jc w:val="left"/>
        <w:rPr>
          <w:rFonts w:hint="default" w:ascii="宋体" w:hAnsi="宋体" w:eastAsia="宋体"/>
          <w:b/>
          <w:color w:val="auto"/>
          <w:position w:val="0"/>
          <w:sz w:val="24"/>
          <w:szCs w:val="24"/>
        </w:rPr>
      </w:pPr>
      <w:r>
        <w:rPr>
          <w:rFonts w:hint="default" w:ascii="宋体" w:hAnsi="宋体" w:eastAsia="宋体"/>
          <w:b/>
          <w:color w:val="auto"/>
          <w:position w:val="0"/>
          <w:sz w:val="24"/>
          <w:szCs w:val="24"/>
        </w:rPr>
        <w:t>甲方（发包人）：</w:t>
      </w:r>
      <w:r>
        <w:rPr>
          <w:rFonts w:hint="default" w:ascii="宋体" w:hAnsi="宋体" w:eastAsia="宋体"/>
          <w:color w:val="auto"/>
          <w:position w:val="0"/>
          <w:sz w:val="24"/>
          <w:szCs w:val="24"/>
          <w:u w:val="single"/>
        </w:rPr>
        <w:t xml:space="preserve">                                                                 </w:t>
      </w:r>
    </w:p>
    <w:p>
      <w:pPr>
        <w:numPr>
          <w:ilvl w:val="0"/>
          <w:numId w:val="0"/>
        </w:numPr>
        <w:autoSpaceDE/>
        <w:autoSpaceDN/>
        <w:snapToGrid w:val="0"/>
        <w:spacing w:before="0" w:after="200" w:line="410" w:lineRule="exact"/>
        <w:ind w:right="0" w:firstLine="482"/>
        <w:jc w:val="left"/>
        <w:rPr>
          <w:rFonts w:hint="default" w:ascii="宋体" w:hAnsi="宋体" w:eastAsia="宋体"/>
          <w:b/>
          <w:color w:val="auto"/>
          <w:position w:val="0"/>
          <w:sz w:val="24"/>
          <w:szCs w:val="24"/>
          <w:u w:val="single"/>
        </w:rPr>
      </w:pPr>
      <w:r>
        <w:rPr>
          <w:rFonts w:hint="default" w:ascii="宋体" w:hAnsi="宋体" w:eastAsia="宋体"/>
          <w:b/>
          <w:color w:val="auto"/>
          <w:position w:val="0"/>
          <w:sz w:val="24"/>
          <w:szCs w:val="24"/>
        </w:rPr>
        <w:t>乙方（承包人）：</w:t>
      </w:r>
      <w:r>
        <w:rPr>
          <w:rFonts w:hint="default" w:ascii="宋体" w:hAnsi="宋体" w:eastAsia="宋体"/>
          <w:color w:val="auto"/>
          <w:position w:val="0"/>
          <w:sz w:val="24"/>
          <w:szCs w:val="24"/>
          <w:u w:val="single"/>
        </w:rPr>
        <w:t xml:space="preserve">                                                                 </w:t>
      </w:r>
    </w:p>
    <w:p>
      <w:pPr>
        <w:numPr>
          <w:ilvl w:val="0"/>
          <w:numId w:val="0"/>
        </w:numPr>
        <w:autoSpaceDE/>
        <w:autoSpaceDN/>
        <w:snapToGrid w:val="0"/>
        <w:spacing w:before="0" w:after="200" w:line="410" w:lineRule="exact"/>
        <w:ind w:right="0" w:firstLine="482"/>
        <w:jc w:val="left"/>
        <w:rPr>
          <w:rFonts w:hint="default" w:ascii="宋体" w:hAnsi="宋体" w:eastAsia="宋体"/>
          <w:b/>
          <w:color w:val="auto"/>
          <w:position w:val="0"/>
          <w:sz w:val="24"/>
          <w:szCs w:val="24"/>
        </w:rPr>
      </w:pPr>
      <w:r>
        <w:rPr>
          <w:rFonts w:hint="default" w:ascii="宋体" w:hAnsi="宋体" w:eastAsia="宋体"/>
          <w:b/>
          <w:color w:val="auto"/>
          <w:position w:val="0"/>
          <w:sz w:val="24"/>
          <w:szCs w:val="24"/>
        </w:rPr>
        <w:t>工程项目名称：</w:t>
      </w:r>
      <w:r>
        <w:rPr>
          <w:rFonts w:hint="default" w:ascii="宋体" w:hAnsi="宋体" w:eastAsia="宋体"/>
          <w:color w:val="auto"/>
          <w:position w:val="0"/>
          <w:sz w:val="24"/>
          <w:szCs w:val="24"/>
          <w:u w:val="single"/>
        </w:rPr>
        <w:t xml:space="preserve">                                                                  </w:t>
      </w:r>
    </w:p>
    <w:p>
      <w:pPr>
        <w:numPr>
          <w:ilvl w:val="0"/>
          <w:numId w:val="0"/>
        </w:numPr>
        <w:autoSpaceDE/>
        <w:autoSpaceDN/>
        <w:snapToGrid w:val="0"/>
        <w:spacing w:before="0" w:after="200" w:line="410" w:lineRule="exact"/>
        <w:ind w:right="0" w:firstLine="482"/>
        <w:jc w:val="left"/>
        <w:rPr>
          <w:rFonts w:hint="default" w:ascii="新宋体" w:hAnsi="新宋体" w:eastAsia="新宋体"/>
          <w:b/>
          <w:color w:val="auto"/>
          <w:position w:val="0"/>
          <w:sz w:val="24"/>
          <w:szCs w:val="24"/>
        </w:rPr>
      </w:pPr>
      <w:r>
        <w:rPr>
          <w:rFonts w:hint="default" w:ascii="宋体" w:hAnsi="宋体" w:eastAsia="宋体"/>
          <w:b/>
          <w:color w:val="auto"/>
          <w:position w:val="0"/>
          <w:sz w:val="24"/>
          <w:szCs w:val="24"/>
        </w:rPr>
        <w:t>工程项目地址：</w:t>
      </w:r>
      <w:r>
        <w:rPr>
          <w:rFonts w:hint="default" w:ascii="宋体" w:hAnsi="宋体" w:eastAsia="宋体"/>
          <w:color w:val="auto"/>
          <w:position w:val="0"/>
          <w:sz w:val="24"/>
          <w:szCs w:val="24"/>
          <w:u w:val="single"/>
        </w:rPr>
        <w:t xml:space="preserve">                                                    </w:t>
      </w:r>
      <w:r>
        <w:rPr>
          <w:rFonts w:hint="default" w:ascii="新宋体" w:hAnsi="新宋体" w:eastAsia="新宋体"/>
          <w:color w:val="auto"/>
          <w:position w:val="0"/>
          <w:sz w:val="24"/>
          <w:szCs w:val="24"/>
          <w:u w:val="single"/>
        </w:rPr>
        <w:t xml:space="preserve">              </w:t>
      </w:r>
    </w:p>
    <w:p>
      <w:pPr>
        <w:numPr>
          <w:ilvl w:val="0"/>
          <w:numId w:val="0"/>
        </w:numPr>
        <w:tabs>
          <w:tab w:val="left" w:pos="360"/>
          <w:tab w:val="left" w:pos="540"/>
        </w:tabs>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为加强廉洁建设，规范承发包双方的活动，防止发生各种谋取不正当利益的违法违纪行为，保护当事人的合法权益，根据省政府第308号令的有关规定，由甲方与乙方订立本协议书。</w:t>
      </w:r>
    </w:p>
    <w:p>
      <w:pPr>
        <w:numPr>
          <w:ilvl w:val="0"/>
          <w:numId w:val="0"/>
        </w:numPr>
        <w:tabs>
          <w:tab w:val="left" w:pos="360"/>
          <w:tab w:val="left" w:pos="540"/>
        </w:tabs>
        <w:autoSpaceDE/>
        <w:autoSpaceDN/>
        <w:snapToGrid w:val="0"/>
        <w:spacing w:before="0" w:after="0" w:line="360" w:lineRule="auto"/>
        <w:ind w:right="0" w:firstLine="482"/>
        <w:jc w:val="both"/>
        <w:rPr>
          <w:rFonts w:hint="default" w:ascii="仿宋" w:hAnsi="仿宋" w:eastAsia="仿宋"/>
          <w:color w:val="auto"/>
          <w:position w:val="0"/>
          <w:sz w:val="24"/>
          <w:szCs w:val="24"/>
        </w:rPr>
      </w:pPr>
      <w:r>
        <w:rPr>
          <w:rFonts w:hint="default" w:ascii="仿宋" w:hAnsi="仿宋" w:eastAsia="仿宋"/>
          <w:b/>
          <w:color w:val="auto"/>
          <w:position w:val="0"/>
          <w:sz w:val="24"/>
          <w:szCs w:val="24"/>
        </w:rPr>
        <w:t>第一条  甲乙双方责任</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（一）严格遵守国家法律法规和省政府第308号令的有关规定。</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（二）严格执行一切合同文件，自觉按合同办事。</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（三）双方的业务活动坚持公平、公开、公正和诚信的原则（法律法规另有规定除外），不得损害国家、集体和对方利益，不得违反工程建设管理规章制度。</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（四）建立健全廉洁制度，开展廉洁教育，设立廉洁告示牌，公布举报电话，监督并认真查处违法违纪行为。</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（五）发现对方在业务活动中有违反廉洁建设规定的行为，应及时给予提醒和纠正。</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（六）发现对方严重违反廉洁建设的行为，应向其上级部门或纪检、监察等有关机关举报。影响合同履行的，可按合同中关于合同解除的约定处理。</w:t>
      </w:r>
    </w:p>
    <w:p>
      <w:pPr>
        <w:numPr>
          <w:ilvl w:val="0"/>
          <w:numId w:val="0"/>
        </w:numPr>
        <w:tabs>
          <w:tab w:val="left" w:pos="360"/>
          <w:tab w:val="left" w:pos="540"/>
        </w:tabs>
        <w:autoSpaceDE/>
        <w:autoSpaceDN/>
        <w:snapToGrid w:val="0"/>
        <w:spacing w:before="0" w:after="0" w:line="360" w:lineRule="auto"/>
        <w:ind w:right="0" w:firstLine="48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第二条  甲方责任</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（一）甲方作为工程项目的建设单位，全面负责工程建设的进度、质量和资金管理，认真履行合同规定的甲方责任。</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（三）甲方人员不得参加乙方安排的宴请（工作餐除外）和娱乐活动；不得接受乙方提供的通讯工具、交通工具和高档办公用品等。</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（四）甲方人员不得要求或者接受乙方为其住房装修、婚丧嫁娶活动、配偶子女的工作等安排提方便。</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（五）甲方人员及其配偶、子女等亲友不得从事与乙方有关的工程材料设备供应、工程分包、劳务等经济活动。</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（六）甲方人员不得以任何理由向乙方推荐分包单位或推销材料，不得要求乙方购买合同约定以外的材料和设备。</w:t>
      </w:r>
    </w:p>
    <w:p>
      <w:pPr>
        <w:numPr>
          <w:ilvl w:val="0"/>
          <w:numId w:val="0"/>
        </w:numPr>
        <w:tabs>
          <w:tab w:val="left" w:pos="360"/>
          <w:tab w:val="left" w:pos="540"/>
        </w:tabs>
        <w:autoSpaceDE/>
        <w:autoSpaceDN/>
        <w:snapToGrid w:val="0"/>
        <w:spacing w:before="0" w:after="0" w:line="360" w:lineRule="auto"/>
        <w:ind w:right="0" w:firstLine="48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第三条  乙方责任</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（一）乙方作为工程项目的施工责任主体，严格执行工程建设法律、法规和强制性标准与规范，依照合同负责承担工程建设的进度、质量、资金控制。</w:t>
      </w:r>
    </w:p>
    <w:p>
      <w:pPr>
        <w:numPr>
          <w:ilvl w:val="0"/>
          <w:numId w:val="0"/>
        </w:numPr>
        <w:tabs>
          <w:tab w:val="left" w:pos="360"/>
        </w:tabs>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pPr>
        <w:numPr>
          <w:ilvl w:val="0"/>
          <w:numId w:val="0"/>
        </w:numPr>
        <w:tabs>
          <w:tab w:val="left" w:pos="540"/>
        </w:tabs>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（三）乙方不得以任何理由安排甲方人员参加宴请（工作餐除外）及娱乐活动，提供通讯工具、交通工具和高档办公用品。</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（四）乙方不向甲方人员的住房装修、婚丧嫁娶活动、配偶子女工作等安排提供便利。</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（五）乙方不接受甲方人员及其配偶、子女等亲友从事或明示、暗示干涉工程材料设备供应、工程分包、劳务等经济活动的要求。</w:t>
      </w:r>
    </w:p>
    <w:p>
      <w:pPr>
        <w:numPr>
          <w:ilvl w:val="0"/>
          <w:numId w:val="0"/>
        </w:numPr>
        <w:tabs>
          <w:tab w:val="left" w:pos="360"/>
          <w:tab w:val="left" w:pos="540"/>
        </w:tabs>
        <w:autoSpaceDE/>
        <w:autoSpaceDN/>
        <w:snapToGrid w:val="0"/>
        <w:spacing w:before="0" w:after="0" w:line="360" w:lineRule="auto"/>
        <w:ind w:right="0" w:firstLine="48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第四条  违约责任</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一）甲方人员违反本协议第一条和第二条规定的，按照管理权限，依据有关法律和规定给予党纪、政纪处分或组织处理，涉嫌犯罪的，移交司法机关追究刑事责任；给乙方造成经济损失的，应予赔偿全部经济损失。</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二）乙方人员违反本协议第一条和第三条规定的，按照管理权限，依据有关法律和规定给予党纪、政纪处分或组织处理，涉嫌犯罪的，移交司法机关追究刑事责任；给甲方造成经济损失的，应予全额赔偿经济损失。</w:t>
      </w:r>
    </w:p>
    <w:p>
      <w:pPr>
        <w:numPr>
          <w:ilvl w:val="0"/>
          <w:numId w:val="0"/>
        </w:numPr>
        <w:tabs>
          <w:tab w:val="left" w:pos="360"/>
          <w:tab w:val="left" w:pos="540"/>
        </w:tabs>
        <w:autoSpaceDE/>
        <w:autoSpaceDN/>
        <w:snapToGrid w:val="0"/>
        <w:spacing w:before="0" w:after="0" w:line="360" w:lineRule="auto"/>
        <w:ind w:right="0" w:firstLine="48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第五条  协议生效</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本协议的有效期，自双方签署之日起至该工程竣工验收合格之日止。</w:t>
      </w:r>
    </w:p>
    <w:p>
      <w:pPr>
        <w:numPr>
          <w:ilvl w:val="0"/>
          <w:numId w:val="0"/>
        </w:numPr>
        <w:tabs>
          <w:tab w:val="left" w:pos="360"/>
          <w:tab w:val="left" w:pos="540"/>
        </w:tabs>
        <w:autoSpaceDE/>
        <w:autoSpaceDN/>
        <w:snapToGrid w:val="0"/>
        <w:spacing w:before="0" w:after="0" w:line="360" w:lineRule="auto"/>
        <w:ind w:right="0" w:firstLine="48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第六条  协议法律效力</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本协议书作为工程施工合同的附件，与施工合同具有同等的法律效力，经双方签署后生效。</w:t>
      </w:r>
    </w:p>
    <w:p>
      <w:pPr>
        <w:numPr>
          <w:ilvl w:val="0"/>
          <w:numId w:val="0"/>
        </w:numPr>
        <w:tabs>
          <w:tab w:val="left" w:pos="360"/>
          <w:tab w:val="left" w:pos="540"/>
        </w:tabs>
        <w:autoSpaceDE/>
        <w:autoSpaceDN/>
        <w:snapToGrid w:val="0"/>
        <w:spacing w:before="0" w:after="0" w:line="360" w:lineRule="auto"/>
        <w:ind w:right="0" w:firstLine="482"/>
        <w:jc w:val="both"/>
        <w:rPr>
          <w:rFonts w:hint="default" w:ascii="仿宋" w:hAnsi="仿宋" w:eastAsia="仿宋"/>
          <w:b/>
          <w:color w:val="auto"/>
          <w:position w:val="0"/>
          <w:sz w:val="24"/>
          <w:szCs w:val="24"/>
        </w:rPr>
      </w:pPr>
      <w:r>
        <w:rPr>
          <w:rFonts w:hint="default" w:ascii="仿宋" w:hAnsi="仿宋" w:eastAsia="仿宋"/>
          <w:b/>
          <w:color w:val="auto"/>
          <w:position w:val="0"/>
          <w:sz w:val="24"/>
          <w:szCs w:val="24"/>
        </w:rPr>
        <w:t>第七条  协议份数</w:t>
      </w:r>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 xml:space="preserve">本协议一式 </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份，双方各执</w:t>
      </w:r>
      <w:r>
        <w:rPr>
          <w:rFonts w:hint="default" w:ascii="仿宋" w:hAnsi="仿宋" w:eastAsia="仿宋"/>
          <w:color w:val="auto"/>
          <w:position w:val="0"/>
          <w:sz w:val="24"/>
          <w:szCs w:val="24"/>
          <w:u w:val="single"/>
        </w:rPr>
        <w:t xml:space="preserve">        </w:t>
      </w:r>
      <w:r>
        <w:rPr>
          <w:rFonts w:hint="default" w:ascii="仿宋" w:hAnsi="仿宋" w:eastAsia="仿宋"/>
          <w:color w:val="auto"/>
          <w:position w:val="0"/>
          <w:sz w:val="24"/>
          <w:szCs w:val="24"/>
        </w:rPr>
        <w:t>份。在签订后与工程建设合同一并送工程所在地建设行政主管部门或其指定（委托）的部门（机构）备案一份。</w:t>
      </w:r>
    </w:p>
    <w:p>
      <w:pPr>
        <w:numPr>
          <w:ilvl w:val="0"/>
          <w:numId w:val="0"/>
        </w:numPr>
        <w:autoSpaceDE/>
        <w:autoSpaceDN/>
        <w:snapToGrid w:val="0"/>
        <w:spacing w:before="120" w:after="120" w:line="360" w:lineRule="auto"/>
        <w:ind w:right="0" w:firstLine="478"/>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甲方（公章）：                           乙方（公章）：</w:t>
      </w:r>
    </w:p>
    <w:p>
      <w:pPr>
        <w:numPr>
          <w:ilvl w:val="0"/>
          <w:numId w:val="0"/>
        </w:numPr>
        <w:autoSpaceDE/>
        <w:autoSpaceDN/>
        <w:snapToGrid w:val="0"/>
        <w:spacing w:before="120" w:after="120" w:line="360" w:lineRule="auto"/>
        <w:ind w:right="0" w:firstLine="478"/>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地      址：                            地      址：</w:t>
      </w:r>
    </w:p>
    <w:p>
      <w:pPr>
        <w:numPr>
          <w:ilvl w:val="0"/>
          <w:numId w:val="0"/>
        </w:numPr>
        <w:tabs>
          <w:tab w:val="left" w:pos="525"/>
          <w:tab w:val="left" w:pos="1155"/>
        </w:tabs>
        <w:autoSpaceDE/>
        <w:autoSpaceDN/>
        <w:snapToGrid w:val="0"/>
        <w:spacing w:before="120" w:after="120" w:line="360" w:lineRule="auto"/>
        <w:ind w:right="0" w:firstLine="478"/>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法定代表人：                            法定代表人：</w:t>
      </w:r>
    </w:p>
    <w:p>
      <w:pPr>
        <w:numPr>
          <w:ilvl w:val="0"/>
          <w:numId w:val="0"/>
        </w:numPr>
        <w:tabs>
          <w:tab w:val="left" w:pos="0"/>
          <w:tab w:val="left" w:pos="1155"/>
        </w:tabs>
        <w:autoSpaceDE/>
        <w:autoSpaceDN/>
        <w:snapToGrid w:val="0"/>
        <w:spacing w:before="120" w:after="120" w:line="360" w:lineRule="auto"/>
        <w:ind w:right="0" w:firstLine="478"/>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委托代理人：                            委托代理人：</w:t>
      </w:r>
    </w:p>
    <w:p>
      <w:pPr>
        <w:numPr>
          <w:ilvl w:val="0"/>
          <w:numId w:val="0"/>
        </w:numPr>
        <w:autoSpaceDE/>
        <w:autoSpaceDN/>
        <w:snapToGrid w:val="0"/>
        <w:spacing w:before="0" w:after="0" w:line="360" w:lineRule="auto"/>
        <w:ind w:right="0" w:firstLine="1560"/>
        <w:jc w:val="both"/>
        <w:rPr>
          <w:rFonts w:hint="default" w:ascii="仿宋" w:hAnsi="仿宋" w:eastAsia="仿宋"/>
          <w:b/>
          <w:color w:val="auto"/>
          <w:position w:val="0"/>
          <w:sz w:val="24"/>
          <w:szCs w:val="24"/>
        </w:rPr>
      </w:pPr>
      <w:r>
        <w:rPr>
          <w:rFonts w:hint="default" w:ascii="仿宋" w:hAnsi="仿宋" w:eastAsia="仿宋"/>
          <w:color w:val="auto"/>
          <w:position w:val="0"/>
          <w:sz w:val="24"/>
          <w:szCs w:val="24"/>
        </w:rPr>
        <w:t>年   月   日                            年   月   日</w:t>
      </w: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p>
    <w:p>
      <w:pPr>
        <w:pStyle w:val="3"/>
        <w:numPr>
          <w:ilvl w:val="0"/>
          <w:numId w:val="0"/>
        </w:numPr>
        <w:autoSpaceDE/>
        <w:autoSpaceDN/>
        <w:snapToGrid w:val="0"/>
        <w:spacing w:before="260" w:after="260" w:line="415" w:lineRule="auto"/>
        <w:ind w:right="0" w:firstLine="0"/>
        <w:jc w:val="left"/>
        <w:outlineLvl w:val="1"/>
        <w:rPr>
          <w:rFonts w:hint="default" w:ascii="宋体" w:hAnsi="Times New Roman" w:eastAsia="Times New Roman"/>
          <w:b/>
          <w:color w:val="auto"/>
          <w:position w:val="0"/>
          <w:sz w:val="28"/>
          <w:szCs w:val="28"/>
        </w:rPr>
      </w:pPr>
      <w:bookmarkStart w:id="585" w:name="_Toc504125544"/>
      <w:r>
        <w:rPr>
          <w:rFonts w:hint="default" w:ascii="宋体" w:hAnsi="宋体" w:eastAsia="宋体"/>
          <w:b/>
          <w:color w:val="auto"/>
          <w:position w:val="0"/>
          <w:sz w:val="28"/>
          <w:szCs w:val="28"/>
        </w:rPr>
        <w:t>附件二：工程结算资料编制质量要求</w:t>
      </w:r>
      <w:bookmarkEnd w:id="585"/>
    </w:p>
    <w:p>
      <w:pPr>
        <w:numPr>
          <w:ilvl w:val="0"/>
          <w:numId w:val="0"/>
        </w:numPr>
        <w:autoSpaceDE/>
        <w:autoSpaceDN/>
        <w:snapToGrid w:val="0"/>
        <w:spacing w:before="0" w:after="0" w:line="360" w:lineRule="auto"/>
        <w:ind w:right="0" w:firstLine="480"/>
        <w:jc w:val="both"/>
        <w:rPr>
          <w:rFonts w:hint="default" w:ascii="仿宋" w:hAnsi="仿宋" w:eastAsia="仿宋"/>
          <w:color w:val="auto"/>
          <w:position w:val="0"/>
          <w:sz w:val="24"/>
          <w:szCs w:val="24"/>
        </w:rPr>
      </w:pPr>
      <w:r>
        <w:rPr>
          <w:rFonts w:hint="default" w:ascii="仿宋" w:hAnsi="仿宋" w:eastAsia="仿宋"/>
          <w:color w:val="auto"/>
          <w:position w:val="0"/>
          <w:sz w:val="24"/>
          <w:szCs w:val="24"/>
        </w:rPr>
        <w:t>承包人本着诚实信用、实事求是的原则编制并报审工程结算资料，对工程结算编制质量负责。若承包人提供虚假资料如虚列施工项目及内容、虚假购货发票等，经查证属实的，扣除其提供虚假资料的同等金额外，还将纳入其资源市场资质的考核。</w:t>
      </w:r>
    </w:p>
    <w:p>
      <w:pPr>
        <w:numPr>
          <w:ilvl w:val="0"/>
          <w:numId w:val="0"/>
        </w:numPr>
        <w:autoSpaceDE/>
        <w:autoSpaceDN/>
        <w:snapToGrid w:val="0"/>
        <w:spacing w:before="0" w:after="0" w:line="360" w:lineRule="auto"/>
        <w:ind w:right="0" w:firstLine="360"/>
        <w:jc w:val="left"/>
        <w:rPr>
          <w:rFonts w:hint="default" w:ascii="仿宋" w:hAnsi="仿宋" w:eastAsia="仿宋"/>
          <w:color w:val="auto"/>
          <w:position w:val="0"/>
          <w:sz w:val="24"/>
          <w:szCs w:val="24"/>
        </w:rPr>
      </w:pPr>
      <w:r>
        <w:rPr>
          <w:rFonts w:hint="default" w:ascii="仿宋" w:hAnsi="仿宋" w:eastAsia="仿宋"/>
          <w:color w:val="auto"/>
          <w:position w:val="0"/>
          <w:sz w:val="24"/>
          <w:szCs w:val="24"/>
        </w:rPr>
        <w:t>（1）工程结算综合审减率{（承包人报审金额-造价咨询机构审定金额）/承包人报审金额}不超过5%（不含5%），审核费用由发包人承担；综合审减率大于5%（含5%）的，按总审减额（内审审减额与外审审减额之和）的8%和审计基本费支付审计费，审核费用全部由承包人承担，由发包人直接从工程结算款中扣除。</w:t>
      </w:r>
    </w:p>
    <w:p>
      <w:pPr>
        <w:numPr>
          <w:ilvl w:val="0"/>
          <w:numId w:val="0"/>
        </w:numPr>
        <w:autoSpaceDE/>
        <w:autoSpaceDN/>
        <w:snapToGrid w:val="0"/>
        <w:spacing w:before="0" w:after="0" w:line="360" w:lineRule="auto"/>
        <w:ind w:right="0" w:firstLine="360"/>
        <w:jc w:val="left"/>
        <w:rPr>
          <w:rFonts w:hint="default" w:ascii="仿宋" w:hAnsi="Times New Roman" w:eastAsia="Times New Roman"/>
          <w:color w:val="auto"/>
          <w:position w:val="0"/>
          <w:sz w:val="24"/>
          <w:szCs w:val="24"/>
        </w:rPr>
      </w:pPr>
      <w:r>
        <w:rPr>
          <w:rFonts w:hint="default" w:ascii="仿宋" w:hAnsi="仿宋" w:eastAsia="仿宋"/>
          <w:color w:val="auto"/>
          <w:position w:val="0"/>
          <w:sz w:val="24"/>
          <w:szCs w:val="24"/>
        </w:rPr>
        <w:t>（2）</w:t>
      </w:r>
    </w:p>
    <w:tbl>
      <w:tblPr>
        <w:tblStyle w:val="32"/>
        <w:tblW w:w="760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8"/>
        <w:gridCol w:w="2835"/>
        <w:gridCol w:w="3118"/>
        <w:gridCol w:w="92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8"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序号</w:t>
            </w:r>
          </w:p>
        </w:tc>
        <w:tc>
          <w:tcPr>
            <w:tcW w:w="2835"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工程结算综合审减率（x）</w:t>
            </w:r>
          </w:p>
        </w:tc>
        <w:tc>
          <w:tcPr>
            <w:tcW w:w="3118"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扣减工程结算审定额比例（y）</w:t>
            </w:r>
          </w:p>
        </w:tc>
        <w:tc>
          <w:tcPr>
            <w:tcW w:w="925"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8"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1</w:t>
            </w:r>
          </w:p>
        </w:tc>
        <w:tc>
          <w:tcPr>
            <w:tcW w:w="2835"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x＜20%</w:t>
            </w:r>
          </w:p>
        </w:tc>
        <w:tc>
          <w:tcPr>
            <w:tcW w:w="3118"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不扣减</w:t>
            </w:r>
          </w:p>
        </w:tc>
        <w:tc>
          <w:tcPr>
            <w:tcW w:w="925"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8"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2</w:t>
            </w:r>
          </w:p>
        </w:tc>
        <w:tc>
          <w:tcPr>
            <w:tcW w:w="2835"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20%≤x＜30%</w:t>
            </w:r>
          </w:p>
        </w:tc>
        <w:tc>
          <w:tcPr>
            <w:tcW w:w="3118"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w:t>
            </w:r>
          </w:p>
        </w:tc>
        <w:tc>
          <w:tcPr>
            <w:tcW w:w="925"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8"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3</w:t>
            </w:r>
          </w:p>
        </w:tc>
        <w:tc>
          <w:tcPr>
            <w:tcW w:w="2835"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30%≤x＜40%</w:t>
            </w:r>
          </w:p>
        </w:tc>
        <w:tc>
          <w:tcPr>
            <w:tcW w:w="3118"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5%</w:t>
            </w:r>
          </w:p>
        </w:tc>
        <w:tc>
          <w:tcPr>
            <w:tcW w:w="925"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8"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r>
              <w:rPr>
                <w:rFonts w:hint="default" w:ascii="仿宋" w:hAnsi="仿宋" w:eastAsia="仿宋"/>
                <w:color w:val="auto"/>
                <w:position w:val="0"/>
                <w:sz w:val="21"/>
                <w:szCs w:val="21"/>
              </w:rPr>
              <w:t>4</w:t>
            </w:r>
          </w:p>
        </w:tc>
        <w:tc>
          <w:tcPr>
            <w:tcW w:w="2835"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40%≤x</w:t>
            </w:r>
          </w:p>
        </w:tc>
        <w:tc>
          <w:tcPr>
            <w:tcW w:w="3118" w:type="dxa"/>
            <w:vAlign w:val="center"/>
          </w:tcPr>
          <w:p>
            <w:pPr>
              <w:numPr>
                <w:ilvl w:val="0"/>
                <w:numId w:val="0"/>
              </w:numPr>
              <w:autoSpaceDE/>
              <w:autoSpaceDN/>
              <w:snapToGrid w:val="0"/>
              <w:spacing w:before="0" w:after="0" w:line="360" w:lineRule="auto"/>
              <w:ind w:right="0" w:firstLine="0"/>
              <w:jc w:val="center"/>
              <w:rPr>
                <w:rFonts w:hint="default" w:ascii="仿宋" w:hAnsi="仿宋" w:eastAsia="仿宋"/>
                <w:color w:val="auto"/>
                <w:position w:val="0"/>
                <w:sz w:val="21"/>
                <w:szCs w:val="21"/>
              </w:rPr>
            </w:pPr>
            <w:r>
              <w:rPr>
                <w:rFonts w:hint="default" w:ascii="仿宋" w:hAnsi="仿宋" w:eastAsia="仿宋"/>
                <w:color w:val="auto"/>
                <w:position w:val="0"/>
                <w:sz w:val="21"/>
                <w:szCs w:val="21"/>
              </w:rPr>
              <w:t>8%</w:t>
            </w:r>
          </w:p>
        </w:tc>
        <w:tc>
          <w:tcPr>
            <w:tcW w:w="925" w:type="dxa"/>
            <w:vAlign w:val="center"/>
          </w:tcPr>
          <w:p>
            <w:pPr>
              <w:numPr>
                <w:ilvl w:val="0"/>
                <w:numId w:val="0"/>
              </w:numPr>
              <w:autoSpaceDE/>
              <w:autoSpaceDN/>
              <w:snapToGrid w:val="0"/>
              <w:spacing w:before="0" w:after="0" w:line="360" w:lineRule="auto"/>
              <w:ind w:right="0" w:firstLine="0"/>
              <w:jc w:val="center"/>
              <w:rPr>
                <w:rFonts w:hint="default" w:ascii="仿宋" w:hAnsi="Times New Roman" w:eastAsia="Times New Roman"/>
                <w:color w:val="auto"/>
                <w:position w:val="0"/>
                <w:sz w:val="21"/>
                <w:szCs w:val="21"/>
              </w:rPr>
            </w:pPr>
          </w:p>
        </w:tc>
      </w:tr>
    </w:tbl>
    <w:p>
      <w:pPr>
        <w:numPr>
          <w:ilvl w:val="0"/>
          <w:numId w:val="0"/>
        </w:numPr>
        <w:autoSpaceDE/>
        <w:autoSpaceDN/>
        <w:snapToGrid w:val="0"/>
        <w:spacing w:before="0" w:after="200" w:line="220" w:lineRule="atLeast"/>
        <w:ind w:right="0" w:firstLine="0"/>
        <w:jc w:val="left"/>
        <w:rPr>
          <w:rFonts w:hint="default" w:ascii="仿宋" w:hAnsi="仿宋" w:eastAsia="仿宋"/>
          <w:color w:val="auto"/>
          <w:position w:val="0"/>
          <w:sz w:val="32"/>
          <w:szCs w:val="32"/>
        </w:rPr>
      </w:pPr>
      <w:r>
        <w:rPr>
          <w:rFonts w:hint="default" w:ascii="仿宋" w:hAnsi="仿宋" w:eastAsia="仿宋"/>
          <w:color w:val="auto"/>
          <w:position w:val="0"/>
          <w:sz w:val="24"/>
          <w:szCs w:val="24"/>
        </w:rPr>
        <w:t>以上第（1）、第（2）条同时使用。</w:t>
      </w: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宋体" w:hAnsi="仿宋" w:eastAsia="仿宋"/>
          <w:color w:val="auto"/>
          <w:position w:val="0"/>
          <w:sz w:val="28"/>
          <w:szCs w:val="28"/>
        </w:rPr>
      </w:pPr>
      <w:bookmarkStart w:id="586" w:name="_Toc504125545"/>
    </w:p>
    <w:p>
      <w:pPr>
        <w:numPr>
          <w:ilvl w:val="0"/>
          <w:numId w:val="0"/>
        </w:numPr>
        <w:autoSpaceDE/>
        <w:autoSpaceDN/>
        <w:snapToGrid w:val="0"/>
        <w:spacing w:before="0" w:after="200" w:line="240" w:lineRule="auto"/>
        <w:ind w:right="0" w:firstLine="0"/>
        <w:jc w:val="left"/>
        <w:rPr>
          <w:rFonts w:hint="default" w:ascii="宋体" w:hAnsi="仿宋" w:eastAsia="仿宋"/>
          <w:b/>
          <w:color w:val="auto"/>
          <w:position w:val="0"/>
          <w:sz w:val="28"/>
          <w:szCs w:val="28"/>
        </w:rPr>
      </w:pPr>
      <w:r>
        <w:rPr>
          <w:rFonts w:hint="default" w:ascii="宋体" w:hAnsi="宋体" w:eastAsia="宋体"/>
          <w:b/>
          <w:color w:val="auto"/>
          <w:position w:val="0"/>
          <w:sz w:val="28"/>
          <w:szCs w:val="28"/>
        </w:rPr>
        <w:t>附件三：</w:t>
      </w:r>
    </w:p>
    <w:p>
      <w:pPr>
        <w:numPr>
          <w:ilvl w:val="0"/>
          <w:numId w:val="0"/>
        </w:numPr>
        <w:autoSpaceDE/>
        <w:autoSpaceDN/>
        <w:snapToGrid w:val="0"/>
        <w:spacing w:before="0" w:after="200" w:line="240" w:lineRule="auto"/>
        <w:ind w:right="0" w:firstLine="0"/>
        <w:jc w:val="center"/>
        <w:rPr>
          <w:rFonts w:hint="default" w:ascii="微软雅黑" w:hAnsi="微软雅黑" w:eastAsia="微软雅黑"/>
          <w:color w:val="000000"/>
          <w:position w:val="0"/>
          <w:sz w:val="36"/>
          <w:szCs w:val="36"/>
        </w:rPr>
      </w:pPr>
      <w:r>
        <w:rPr>
          <w:rFonts w:hint="default" w:ascii="微软雅黑" w:hAnsi="Tahoma" w:eastAsia="Tahoma"/>
          <w:color w:val="auto"/>
          <w:position w:val="0"/>
          <w:sz w:val="36"/>
          <w:szCs w:val="36"/>
        </w:rPr>
        <w:t>安全生产责任书</w:t>
      </w:r>
    </w:p>
    <w:p>
      <w:pPr>
        <w:numPr>
          <w:ilvl w:val="0"/>
          <w:numId w:val="0"/>
        </w:numPr>
        <w:autoSpaceDE/>
        <w:autoSpaceDN/>
        <w:snapToGrid w:val="0"/>
        <w:spacing w:before="0" w:after="0" w:line="360" w:lineRule="auto"/>
        <w:ind w:right="0" w:firstLine="487"/>
        <w:jc w:val="both"/>
        <w:rPr>
          <w:rFonts w:hint="default" w:ascii="仿宋" w:hAnsi="宋体" w:eastAsia="宋体"/>
          <w:b/>
          <w:color w:val="auto"/>
          <w:position w:val="0"/>
          <w:sz w:val="24"/>
          <w:szCs w:val="24"/>
        </w:rPr>
      </w:pPr>
      <w:r>
        <w:rPr>
          <w:rFonts w:hint="default" w:ascii="仿宋" w:hAnsi="仿宋" w:eastAsia="仿宋"/>
          <w:b/>
          <w:color w:val="auto"/>
          <w:position w:val="0"/>
          <w:sz w:val="24"/>
          <w:szCs w:val="24"/>
        </w:rPr>
        <w:t>发包人（全称）：</w:t>
      </w:r>
    </w:p>
    <w:p>
      <w:pPr>
        <w:numPr>
          <w:ilvl w:val="0"/>
          <w:numId w:val="0"/>
        </w:numPr>
        <w:autoSpaceDE/>
        <w:autoSpaceDN/>
        <w:snapToGrid w:val="0"/>
        <w:spacing w:before="0" w:after="0" w:line="360" w:lineRule="auto"/>
        <w:ind w:right="0" w:firstLine="487"/>
        <w:jc w:val="both"/>
        <w:rPr>
          <w:rFonts w:hint="default" w:ascii="仿宋" w:hAnsi="宋体" w:eastAsia="宋体"/>
          <w:b/>
          <w:color w:val="auto"/>
          <w:position w:val="0"/>
          <w:sz w:val="24"/>
          <w:szCs w:val="24"/>
        </w:rPr>
      </w:pPr>
      <w:r>
        <w:rPr>
          <w:rFonts w:hint="default" w:ascii="仿宋" w:hAnsi="仿宋" w:eastAsia="仿宋"/>
          <w:b/>
          <w:color w:val="auto"/>
          <w:position w:val="0"/>
          <w:sz w:val="24"/>
          <w:szCs w:val="24"/>
        </w:rPr>
        <w:t>承包人（全称）：</w:t>
      </w:r>
    </w:p>
    <w:p>
      <w:pPr>
        <w:numPr>
          <w:ilvl w:val="0"/>
          <w:numId w:val="0"/>
        </w:numPr>
        <w:autoSpaceDE/>
        <w:autoSpaceDN/>
        <w:snapToGrid w:val="0"/>
        <w:spacing w:before="0" w:after="0" w:line="360" w:lineRule="auto"/>
        <w:ind w:right="0" w:firstLine="487"/>
        <w:jc w:val="both"/>
        <w:rPr>
          <w:rFonts w:hint="default" w:ascii="仿宋" w:hAnsi="宋体" w:eastAsia="宋体"/>
          <w:color w:val="auto"/>
          <w:position w:val="0"/>
          <w:sz w:val="24"/>
          <w:szCs w:val="24"/>
        </w:rPr>
      </w:pPr>
      <w:r>
        <w:rPr>
          <w:rFonts w:hint="default" w:ascii="仿宋" w:hAnsi="仿宋" w:eastAsia="仿宋"/>
          <w:b/>
          <w:color w:val="auto"/>
          <w:position w:val="0"/>
          <w:sz w:val="24"/>
          <w:szCs w:val="24"/>
        </w:rPr>
        <w:t>工程项目名称：</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工程项目地址</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为确保</w:t>
      </w:r>
      <w:r>
        <w:rPr>
          <w:rFonts w:hint="default" w:ascii="仿宋" w:hAnsi="仿宋" w:eastAsia="仿宋"/>
          <w:color w:val="auto"/>
          <w:position w:val="0"/>
          <w:sz w:val="24"/>
          <w:szCs w:val="24"/>
          <w:u w:val="single"/>
        </w:rPr>
        <w:t xml:space="preserve"> 小楼门星级厕所改建</w:t>
      </w:r>
      <w:r>
        <w:rPr>
          <w:rFonts w:hint="default" w:ascii="仿宋" w:hAnsi="仿宋" w:eastAsia="仿宋"/>
          <w:color w:val="000000"/>
          <w:position w:val="0"/>
          <w:sz w:val="24"/>
          <w:szCs w:val="24"/>
          <w:u w:val="single"/>
        </w:rPr>
        <w:t>工程</w:t>
      </w:r>
      <w:r>
        <w:rPr>
          <w:rFonts w:hint="default" w:ascii="仿宋" w:hAnsi="仿宋" w:eastAsia="仿宋"/>
          <w:color w:val="000000"/>
          <w:position w:val="0"/>
          <w:sz w:val="24"/>
          <w:szCs w:val="24"/>
        </w:rPr>
        <w:t>施工期间的安全，减少安全事件（故）的发生。根据国家施工安全的有关法规、规定及GJ59-2011《建筑施工安全生产检查标准》，结合本工程项目的实际情况，发包人与承包人签订安全生产责任书。</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一、指导思想</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承包人应教育本企业员工树立起“安全第一，预防为主”的思想意识，强化安全的管理监督，积极开展施工现场安全达标及文明施工活动，努力提高施工队伍的整体安全素质，确保施工现场施工生产的安全。</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二、目标和任务</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1、承包人应成立公司、项目部二级安全领导小组，公司负责人为公司一级的安全责任人，项目经理为项目部的安全责任人。</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2、项目部应设设置专项资金作为安全施工措施费，该项措施费要专款专用，不得移作他用。</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3、项目部要设有专职安全员管理施工现场的安全生产事物，安全员必须持证上岗、专岗专责。</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4、杜绝重伤以上事故、火灾事故、重大设备事故。一般隐患整改率100%以上，重大隐患整改率100%，工人安全教育率达100%，特种作业持证上岗率100%。</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5、专职安全员要做好安全监督检查工作，发现问题及时反馈，协助落实整改措施，及时制止违章指挥及违章作业的行为，作好安全教育及安全宣传工作。</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6、现场电工必须持证上岗，负责对现场用电线路、设备的检查维修，并作好记录，确保机具不带病运转，漏电动作无误。严格按《施工现场临时用电安全技术规范》进行布设施工用电线路设备，安装施工机具。</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7、对于购置的安全防护用品必须有厂家许可证、产品合格证，要求合格率达100%。</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8、作好入场工人的安全教育工作，教育工人要遵守施工安全操作规程及厂区的安全管理规定。</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三、措施和要求</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牢固树立“安全第一，预防为主”的方针，严格执行安全技术规程、安全操作规程及JGJ59-2011《建筑施工安全检查评分标准》，落实施工组织设计及施工方案的措施方案，制定分部分项安全技术措施，落实安全生产工作。</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2、抓好安全生产责任制落实工作，要进一步提高认识，明确责任，针对存在问题，积极采取有效措施加以解决。</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3、作好分部分项的安全技术交底工作，安全技术交底应全面、具体，并要有针对性，并做好安全交底记录。</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4、专职安全员每天要对施工现场进行安全巡视检查，对于发现的安全隐患应立即提出整改，对于整改情况要全程追踪，并应及时反馈；对违章指挥、违章作业的人和行为，要坚决制止，督促工人严格遵守安全操作规程，严格按照规定佩带安全防护用品。</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5、认真实施安全技术措施方案，作好安全防护设施的搭设与维修，安全防护设施的搭设不得滞后于工程的施工进度。</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6、大力做好安全宣传教育教育工作，切实做好岗前培训，不断加强工人的自我安全防护意识和能力。</w:t>
      </w:r>
    </w:p>
    <w:p>
      <w:pPr>
        <w:numPr>
          <w:ilvl w:val="0"/>
          <w:numId w:val="0"/>
        </w:numPr>
        <w:autoSpaceDE/>
        <w:autoSpaceDN/>
        <w:snapToGrid w:val="0"/>
        <w:spacing w:before="0" w:after="0" w:line="360" w:lineRule="auto"/>
        <w:ind w:right="0" w:firstLine="480"/>
        <w:jc w:val="both"/>
        <w:rPr>
          <w:rFonts w:hint="default" w:ascii="仿宋" w:hAnsi="Times New Roman" w:eastAsia="Times New Roman"/>
          <w:color w:val="000000"/>
          <w:position w:val="0"/>
          <w:sz w:val="24"/>
          <w:szCs w:val="24"/>
        </w:rPr>
      </w:pPr>
      <w:r>
        <w:rPr>
          <w:rFonts w:hint="default" w:ascii="仿宋" w:hAnsi="仿宋" w:eastAsia="仿宋"/>
          <w:color w:val="000000"/>
          <w:position w:val="0"/>
          <w:sz w:val="24"/>
          <w:szCs w:val="24"/>
        </w:rPr>
        <w:t>7、各级安全责任人要严格按照各自的安全岗位职责范围，开展好各项安全生产工作，做到“齐抓共管”。</w:t>
      </w:r>
    </w:p>
    <w:tbl>
      <w:tblPr>
        <w:tblStyle w:val="31"/>
        <w:tblpPr w:leftFromText="180" w:rightFromText="180" w:vertAnchor="text" w:horzAnchor="page" w:tblpX="1760" w:tblpY="359"/>
        <w:tblOverlap w:val="never"/>
        <w:tblW w:w="9020" w:type="dxa"/>
        <w:tblInd w:w="0" w:type="dxa"/>
        <w:tblLayout w:type="fixed"/>
        <w:tblCellMar>
          <w:top w:w="0" w:type="dxa"/>
          <w:left w:w="108" w:type="dxa"/>
          <w:bottom w:w="0" w:type="dxa"/>
          <w:right w:w="108" w:type="dxa"/>
        </w:tblCellMar>
      </w:tblPr>
      <w:tblGrid>
        <w:gridCol w:w="1543"/>
        <w:gridCol w:w="2967"/>
        <w:gridCol w:w="1578"/>
        <w:gridCol w:w="2932"/>
      </w:tblGrid>
      <w:tr>
        <w:tblPrEx>
          <w:tblLayout w:type="fixed"/>
          <w:tblCellMar>
            <w:top w:w="0" w:type="dxa"/>
            <w:left w:w="108" w:type="dxa"/>
            <w:bottom w:w="0" w:type="dxa"/>
            <w:right w:w="108" w:type="dxa"/>
          </w:tblCellMar>
        </w:tblPrEx>
        <w:trPr>
          <w:trHeight w:val="892" w:hRule="atLeast"/>
        </w:trPr>
        <w:tc>
          <w:tcPr>
            <w:tcW w:w="1543" w:type="dxa"/>
            <w:vAlign w:val="center"/>
          </w:tcPr>
          <w:p>
            <w:pPr>
              <w:numPr>
                <w:ilvl w:val="0"/>
                <w:numId w:val="0"/>
              </w:numPr>
              <w:autoSpaceDE/>
              <w:autoSpaceDN/>
              <w:snapToGrid w:val="0"/>
              <w:spacing w:before="0" w:after="200" w:line="240" w:lineRule="auto"/>
              <w:ind w:right="0" w:firstLine="0"/>
              <w:jc w:val="left"/>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发包人</w:t>
            </w:r>
          </w:p>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(盖章)：</w:t>
            </w:r>
          </w:p>
        </w:tc>
        <w:tc>
          <w:tcPr>
            <w:tcW w:w="2967" w:type="dxa"/>
            <w:vAlign w:val="center"/>
          </w:tcPr>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p>
        </w:tc>
        <w:tc>
          <w:tcPr>
            <w:tcW w:w="1578" w:type="dxa"/>
            <w:vAlign w:val="center"/>
          </w:tcPr>
          <w:p>
            <w:pPr>
              <w:numPr>
                <w:ilvl w:val="0"/>
                <w:numId w:val="0"/>
              </w:numPr>
              <w:autoSpaceDE/>
              <w:autoSpaceDN/>
              <w:snapToGrid w:val="0"/>
              <w:spacing w:before="0" w:after="200" w:line="240" w:lineRule="auto"/>
              <w:ind w:right="0" w:firstLine="0"/>
              <w:jc w:val="left"/>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承包人</w:t>
            </w:r>
          </w:p>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(盖章)：</w:t>
            </w:r>
          </w:p>
        </w:tc>
        <w:tc>
          <w:tcPr>
            <w:tcW w:w="2932" w:type="dxa"/>
            <w:vAlign w:val="center"/>
          </w:tcPr>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p>
        </w:tc>
      </w:tr>
      <w:tr>
        <w:tblPrEx>
          <w:tblLayout w:type="fixed"/>
          <w:tblCellMar>
            <w:top w:w="0" w:type="dxa"/>
            <w:left w:w="108" w:type="dxa"/>
            <w:bottom w:w="0" w:type="dxa"/>
            <w:right w:w="108" w:type="dxa"/>
          </w:tblCellMar>
        </w:tblPrEx>
        <w:trPr>
          <w:trHeight w:val="619" w:hRule="atLeast"/>
        </w:trPr>
        <w:tc>
          <w:tcPr>
            <w:tcW w:w="4510" w:type="dxa"/>
            <w:gridSpan w:val="2"/>
            <w:vAlign w:val="center"/>
          </w:tcPr>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法定代表人或</w:t>
            </w:r>
          </w:p>
        </w:tc>
        <w:tc>
          <w:tcPr>
            <w:tcW w:w="4510" w:type="dxa"/>
            <w:gridSpan w:val="2"/>
            <w:vAlign w:val="center"/>
          </w:tcPr>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法定代表人或</w:t>
            </w:r>
          </w:p>
        </w:tc>
      </w:tr>
      <w:tr>
        <w:tblPrEx>
          <w:tblLayout w:type="fixed"/>
          <w:tblCellMar>
            <w:top w:w="0" w:type="dxa"/>
            <w:left w:w="108" w:type="dxa"/>
            <w:bottom w:w="0" w:type="dxa"/>
            <w:right w:w="108" w:type="dxa"/>
          </w:tblCellMar>
        </w:tblPrEx>
        <w:trPr>
          <w:trHeight w:val="714" w:hRule="atLeast"/>
        </w:trPr>
        <w:tc>
          <w:tcPr>
            <w:tcW w:w="4510" w:type="dxa"/>
            <w:gridSpan w:val="2"/>
            <w:vAlign w:val="center"/>
          </w:tcPr>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授权代理人（签字或盖章）：</w:t>
            </w:r>
          </w:p>
        </w:tc>
        <w:tc>
          <w:tcPr>
            <w:tcW w:w="4510" w:type="dxa"/>
            <w:gridSpan w:val="2"/>
            <w:vAlign w:val="center"/>
          </w:tcPr>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授权代理人（签字或盖章）：</w:t>
            </w:r>
          </w:p>
        </w:tc>
      </w:tr>
      <w:tr>
        <w:tblPrEx>
          <w:tblLayout w:type="fixed"/>
          <w:tblCellMar>
            <w:top w:w="0" w:type="dxa"/>
            <w:left w:w="108" w:type="dxa"/>
            <w:bottom w:w="0" w:type="dxa"/>
            <w:right w:w="108" w:type="dxa"/>
          </w:tblCellMar>
        </w:tblPrEx>
        <w:trPr>
          <w:trHeight w:val="633" w:hRule="atLeast"/>
        </w:trPr>
        <w:tc>
          <w:tcPr>
            <w:tcW w:w="4510" w:type="dxa"/>
            <w:gridSpan w:val="2"/>
            <w:vAlign w:val="center"/>
          </w:tcPr>
          <w:p>
            <w:pPr>
              <w:numPr>
                <w:ilvl w:val="0"/>
                <w:numId w:val="0"/>
              </w:numPr>
              <w:autoSpaceDE/>
              <w:autoSpaceDN/>
              <w:snapToGrid w:val="0"/>
              <w:spacing w:before="0" w:after="200" w:line="240" w:lineRule="auto"/>
              <w:ind w:right="0" w:firstLine="0"/>
              <w:jc w:val="both"/>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 xml:space="preserve">      年    月    日</w:t>
            </w:r>
          </w:p>
        </w:tc>
        <w:tc>
          <w:tcPr>
            <w:tcW w:w="4510" w:type="dxa"/>
            <w:gridSpan w:val="2"/>
            <w:vAlign w:val="center"/>
          </w:tcPr>
          <w:p>
            <w:pPr>
              <w:numPr>
                <w:ilvl w:val="0"/>
                <w:numId w:val="0"/>
              </w:numPr>
              <w:autoSpaceDE/>
              <w:autoSpaceDN/>
              <w:snapToGrid w:val="0"/>
              <w:spacing w:before="0" w:after="200" w:line="240" w:lineRule="auto"/>
              <w:ind w:right="0" w:firstLine="1058"/>
              <w:jc w:val="left"/>
              <w:rPr>
                <w:rFonts w:hint="default" w:ascii="仿宋" w:hAnsi="仿宋_GB2312" w:eastAsia="仿宋_GB2312"/>
                <w:color w:val="auto"/>
                <w:position w:val="0"/>
                <w:sz w:val="24"/>
                <w:szCs w:val="24"/>
              </w:rPr>
            </w:pPr>
            <w:r>
              <w:rPr>
                <w:rFonts w:hint="default" w:ascii="仿宋" w:hAnsi="仿宋" w:eastAsia="仿宋"/>
                <w:color w:val="auto"/>
                <w:position w:val="0"/>
                <w:sz w:val="24"/>
                <w:szCs w:val="24"/>
              </w:rPr>
              <w:t>年    月    日</w:t>
            </w:r>
          </w:p>
        </w:tc>
      </w:tr>
    </w:tbl>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center"/>
        <w:rPr>
          <w:rFonts w:hint="default" w:ascii="微软雅黑" w:hAnsi="Tahoma" w:eastAsia="Tahoma"/>
          <w:color w:val="auto"/>
          <w:position w:val="0"/>
          <w:sz w:val="36"/>
          <w:szCs w:val="36"/>
        </w:rPr>
      </w:pPr>
    </w:p>
    <w:p>
      <w:pPr>
        <w:numPr>
          <w:ilvl w:val="0"/>
          <w:numId w:val="0"/>
        </w:numPr>
        <w:autoSpaceDE/>
        <w:autoSpaceDN/>
        <w:snapToGrid w:val="0"/>
        <w:spacing w:before="0" w:after="200" w:line="240" w:lineRule="auto"/>
        <w:ind w:right="0" w:firstLine="0"/>
        <w:jc w:val="left"/>
        <w:rPr>
          <w:rFonts w:hint="default" w:ascii="微软雅黑" w:hAnsi="Tahoma" w:eastAsia="Tahoma"/>
          <w:b/>
          <w:color w:val="auto"/>
          <w:position w:val="0"/>
          <w:sz w:val="36"/>
          <w:szCs w:val="36"/>
        </w:rPr>
      </w:pPr>
      <w:r>
        <w:rPr>
          <w:rFonts w:hint="default" w:ascii="微软雅黑" w:hAnsi="Tahoma" w:eastAsia="Tahoma"/>
          <w:b/>
          <w:color w:val="auto"/>
          <w:position w:val="0"/>
          <w:sz w:val="36"/>
          <w:szCs w:val="36"/>
        </w:rPr>
        <w:t>附件四：</w:t>
      </w:r>
    </w:p>
    <w:p>
      <w:pPr>
        <w:numPr>
          <w:ilvl w:val="0"/>
          <w:numId w:val="0"/>
        </w:numPr>
        <w:autoSpaceDE/>
        <w:autoSpaceDN/>
        <w:snapToGrid w:val="0"/>
        <w:spacing w:before="0" w:after="200" w:line="240" w:lineRule="auto"/>
        <w:ind w:right="0" w:firstLine="0"/>
        <w:jc w:val="center"/>
        <w:rPr>
          <w:rFonts w:hint="default" w:ascii="微软雅黑" w:hAnsi="Times New Roman" w:eastAsia="Times New Roman"/>
          <w:color w:val="000000"/>
          <w:position w:val="0"/>
          <w:sz w:val="36"/>
          <w:szCs w:val="36"/>
        </w:rPr>
      </w:pPr>
      <w:r>
        <w:rPr>
          <w:rFonts w:hint="default" w:ascii="微软雅黑" w:hAnsi="Tahoma" w:eastAsia="Tahoma"/>
          <w:color w:val="auto"/>
          <w:position w:val="0"/>
          <w:sz w:val="36"/>
          <w:szCs w:val="36"/>
        </w:rPr>
        <w:t>安全生产协议书</w:t>
      </w:r>
    </w:p>
    <w:p>
      <w:pPr>
        <w:numPr>
          <w:ilvl w:val="0"/>
          <w:numId w:val="0"/>
        </w:numPr>
        <w:autoSpaceDE/>
        <w:autoSpaceDN/>
        <w:snapToGrid w:val="0"/>
        <w:spacing w:before="0" w:after="0" w:line="360" w:lineRule="auto"/>
        <w:ind w:right="0" w:firstLine="487"/>
        <w:jc w:val="both"/>
        <w:rPr>
          <w:rFonts w:hint="default" w:ascii="仿宋" w:hAnsi="宋体" w:eastAsia="宋体"/>
          <w:b/>
          <w:color w:val="auto"/>
          <w:position w:val="0"/>
          <w:sz w:val="24"/>
          <w:szCs w:val="24"/>
        </w:rPr>
      </w:pPr>
      <w:r>
        <w:rPr>
          <w:rFonts w:hint="default" w:ascii="仿宋" w:hAnsi="仿宋" w:eastAsia="仿宋"/>
          <w:b/>
          <w:color w:val="auto"/>
          <w:position w:val="0"/>
          <w:sz w:val="24"/>
          <w:szCs w:val="24"/>
        </w:rPr>
        <w:t>发包人（全称）：</w:t>
      </w:r>
    </w:p>
    <w:p>
      <w:pPr>
        <w:numPr>
          <w:ilvl w:val="0"/>
          <w:numId w:val="0"/>
        </w:numPr>
        <w:autoSpaceDE/>
        <w:autoSpaceDN/>
        <w:snapToGrid w:val="0"/>
        <w:spacing w:before="0" w:after="0" w:line="360" w:lineRule="auto"/>
        <w:ind w:right="0" w:firstLine="487"/>
        <w:jc w:val="both"/>
        <w:rPr>
          <w:rFonts w:hint="default" w:ascii="仿宋" w:hAnsi="宋体" w:eastAsia="宋体"/>
          <w:b/>
          <w:color w:val="auto"/>
          <w:position w:val="0"/>
          <w:sz w:val="24"/>
          <w:szCs w:val="24"/>
        </w:rPr>
      </w:pPr>
      <w:r>
        <w:rPr>
          <w:rFonts w:hint="default" w:ascii="仿宋" w:hAnsi="仿宋" w:eastAsia="仿宋"/>
          <w:b/>
          <w:color w:val="auto"/>
          <w:position w:val="0"/>
          <w:sz w:val="24"/>
          <w:szCs w:val="24"/>
        </w:rPr>
        <w:t>承包人（全称）：</w:t>
      </w:r>
    </w:p>
    <w:p>
      <w:pPr>
        <w:numPr>
          <w:ilvl w:val="0"/>
          <w:numId w:val="0"/>
        </w:numPr>
        <w:autoSpaceDE/>
        <w:autoSpaceDN/>
        <w:snapToGrid w:val="0"/>
        <w:spacing w:before="0" w:after="0" w:line="360" w:lineRule="auto"/>
        <w:ind w:right="0" w:firstLine="487"/>
        <w:jc w:val="both"/>
        <w:rPr>
          <w:rFonts w:hint="default" w:ascii="仿宋" w:hAnsi="宋体" w:eastAsia="宋体"/>
          <w:color w:val="auto"/>
          <w:position w:val="0"/>
          <w:sz w:val="24"/>
          <w:szCs w:val="24"/>
        </w:rPr>
      </w:pPr>
      <w:r>
        <w:rPr>
          <w:rFonts w:hint="default" w:ascii="仿宋" w:hAnsi="仿宋" w:eastAsia="仿宋"/>
          <w:b/>
          <w:color w:val="auto"/>
          <w:position w:val="0"/>
          <w:sz w:val="24"/>
          <w:szCs w:val="24"/>
        </w:rPr>
        <w:t>工程项目名称：</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auto"/>
          <w:position w:val="0"/>
          <w:sz w:val="24"/>
          <w:szCs w:val="24"/>
        </w:rPr>
        <w:t>工程项目地址</w:t>
      </w:r>
      <w:r>
        <w:rPr>
          <w:rFonts w:hint="default" w:ascii="仿宋" w:hAnsi="仿宋" w:eastAsia="仿宋"/>
          <w:color w:val="auto"/>
          <w:position w:val="0"/>
          <w:sz w:val="24"/>
          <w:szCs w:val="24"/>
        </w:rPr>
        <w:t>：</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为确保建设工程在施工中人身、设备的安全，依据《中华人民共和国安全生产法》、《建筑法》等法律、法规、规定，明确发、承包方安全责任，确保施工安全，保证员工和其他所有雇员在工程建设过程中人身健康安全，预防发生各类施工安全事故，经双方协商，发、承包双方自愿签订本协议。</w:t>
      </w:r>
    </w:p>
    <w:p>
      <w:pPr>
        <w:numPr>
          <w:ilvl w:val="0"/>
          <w:numId w:val="0"/>
        </w:numPr>
        <w:autoSpaceDE/>
        <w:autoSpaceDN/>
        <w:snapToGrid w:val="0"/>
        <w:spacing w:before="0" w:after="0" w:line="360" w:lineRule="auto"/>
        <w:ind w:right="0" w:firstLine="482"/>
        <w:jc w:val="both"/>
        <w:rPr>
          <w:rFonts w:hint="default" w:ascii="仿宋" w:hAnsi="Times New Roman" w:eastAsia="Times New Roman"/>
          <w:b/>
          <w:color w:val="auto"/>
          <w:position w:val="0"/>
          <w:sz w:val="24"/>
          <w:szCs w:val="24"/>
        </w:rPr>
      </w:pPr>
      <w:r>
        <w:rPr>
          <w:rFonts w:hint="default" w:ascii="仿宋" w:hAnsi="仿宋" w:eastAsia="仿宋"/>
          <w:b/>
          <w:color w:val="000000"/>
          <w:position w:val="0"/>
          <w:sz w:val="24"/>
          <w:szCs w:val="24"/>
        </w:rPr>
        <w:t>一、工程名称：</w:t>
      </w:r>
      <w:r>
        <w:rPr>
          <w:rFonts w:hint="default" w:ascii="仿宋" w:hAnsi="仿宋" w:eastAsia="仿宋"/>
          <w:color w:val="auto"/>
          <w:position w:val="0"/>
          <w:sz w:val="24"/>
          <w:szCs w:val="24"/>
          <w:u w:val="single"/>
        </w:rPr>
        <w:t>小楼门星级厕所改建工程</w:t>
      </w:r>
    </w:p>
    <w:p>
      <w:pPr>
        <w:numPr>
          <w:ilvl w:val="0"/>
          <w:numId w:val="0"/>
        </w:numPr>
        <w:autoSpaceDE/>
        <w:autoSpaceDN/>
        <w:snapToGrid w:val="0"/>
        <w:spacing w:before="0" w:after="0" w:line="360" w:lineRule="auto"/>
        <w:ind w:right="0" w:firstLine="482"/>
        <w:jc w:val="left"/>
        <w:rPr>
          <w:rFonts w:hint="default" w:ascii="仿宋" w:hAnsi="仿宋_GB2312" w:eastAsia="仿宋_GB2312"/>
          <w:color w:val="000000"/>
          <w:position w:val="0"/>
          <w:sz w:val="24"/>
          <w:szCs w:val="24"/>
        </w:rPr>
      </w:pPr>
      <w:r>
        <w:rPr>
          <w:rFonts w:hint="default" w:ascii="仿宋" w:hAnsi="仿宋" w:eastAsia="仿宋"/>
          <w:b/>
          <w:color w:val="000000"/>
          <w:position w:val="0"/>
          <w:sz w:val="24"/>
          <w:szCs w:val="24"/>
        </w:rPr>
        <w:t>二、工程地址：</w:t>
      </w:r>
      <w:r>
        <w:rPr>
          <w:rFonts w:hint="default" w:ascii="仿宋" w:hAnsi="仿宋" w:eastAsia="仿宋"/>
          <w:color w:val="auto"/>
          <w:position w:val="0"/>
          <w:sz w:val="24"/>
          <w:szCs w:val="24"/>
          <w:u w:val="single"/>
        </w:rPr>
        <w:t>恩施市沐抚镇大峡谷景区内</w:t>
      </w:r>
      <w:r>
        <w:rPr>
          <w:rFonts w:hint="default" w:ascii="仿宋" w:hAnsi="仿宋" w:eastAsia="仿宋"/>
          <w:color w:val="000000"/>
          <w:position w:val="0"/>
          <w:sz w:val="24"/>
          <w:szCs w:val="24"/>
          <w:u w:val="single"/>
        </w:rPr>
        <w:t xml:space="preserve"> </w:t>
      </w:r>
      <w:r>
        <w:rPr>
          <w:rFonts w:hint="default" w:ascii="仿宋" w:hAnsi="仿宋" w:eastAsia="仿宋"/>
          <w:color w:val="000000"/>
          <w:position w:val="0"/>
          <w:sz w:val="24"/>
          <w:szCs w:val="24"/>
        </w:rPr>
        <w:t xml:space="preserve">                            </w:t>
      </w:r>
    </w:p>
    <w:p>
      <w:pPr>
        <w:numPr>
          <w:ilvl w:val="0"/>
          <w:numId w:val="0"/>
        </w:numPr>
        <w:autoSpaceDE/>
        <w:autoSpaceDN/>
        <w:snapToGrid w:val="0"/>
        <w:spacing w:before="0" w:after="0" w:line="360" w:lineRule="auto"/>
        <w:ind w:right="0" w:firstLine="482"/>
        <w:jc w:val="both"/>
        <w:rPr>
          <w:rFonts w:hint="default" w:ascii="仿宋" w:hAnsi="仿宋_GB2312" w:eastAsia="仿宋_GB2312"/>
          <w:color w:val="000000"/>
          <w:position w:val="0"/>
          <w:sz w:val="24"/>
          <w:szCs w:val="24"/>
        </w:rPr>
      </w:pPr>
      <w:r>
        <w:rPr>
          <w:rFonts w:hint="default" w:ascii="仿宋" w:hAnsi="仿宋" w:eastAsia="仿宋"/>
          <w:b/>
          <w:color w:val="000000"/>
          <w:position w:val="0"/>
          <w:sz w:val="24"/>
          <w:szCs w:val="24"/>
        </w:rPr>
        <w:t>三、工程范围：</w:t>
      </w:r>
      <w:r>
        <w:rPr>
          <w:rFonts w:hint="default" w:ascii="仿宋" w:hAnsi="仿宋" w:eastAsia="仿宋"/>
          <w:color w:val="000000"/>
          <w:position w:val="0"/>
          <w:sz w:val="24"/>
          <w:szCs w:val="24"/>
          <w:u w:val="single"/>
        </w:rPr>
        <w:t>工程量清单内全部工作内容</w:t>
      </w:r>
      <w:r>
        <w:rPr>
          <w:rFonts w:hint="default" w:ascii="仿宋" w:hAnsi="仿宋" w:eastAsia="仿宋"/>
          <w:color w:val="000000"/>
          <w:position w:val="0"/>
          <w:sz w:val="24"/>
          <w:szCs w:val="24"/>
        </w:rPr>
        <w:t>。</w:t>
      </w:r>
    </w:p>
    <w:p>
      <w:pPr>
        <w:numPr>
          <w:ilvl w:val="0"/>
          <w:numId w:val="0"/>
        </w:numPr>
        <w:autoSpaceDE/>
        <w:autoSpaceDN/>
        <w:snapToGrid w:val="0"/>
        <w:spacing w:before="0" w:after="0" w:line="360" w:lineRule="auto"/>
        <w:ind w:right="0" w:firstLine="482"/>
        <w:jc w:val="both"/>
        <w:rPr>
          <w:rFonts w:hint="default" w:ascii="仿宋" w:hAnsi="仿宋_GB2312" w:eastAsia="仿宋_GB2312"/>
          <w:color w:val="000000"/>
          <w:position w:val="0"/>
          <w:sz w:val="24"/>
          <w:szCs w:val="24"/>
        </w:rPr>
      </w:pPr>
      <w:r>
        <w:rPr>
          <w:rFonts w:hint="default" w:ascii="仿宋" w:hAnsi="仿宋" w:eastAsia="仿宋"/>
          <w:b/>
          <w:color w:val="000000"/>
          <w:position w:val="0"/>
          <w:sz w:val="24"/>
          <w:szCs w:val="24"/>
        </w:rPr>
        <w:t>四、协议期限：</w:t>
      </w:r>
      <w:r>
        <w:rPr>
          <w:rFonts w:hint="default" w:ascii="仿宋" w:hAnsi="仿宋" w:eastAsia="仿宋"/>
          <w:color w:val="000000"/>
          <w:position w:val="0"/>
          <w:sz w:val="24"/>
          <w:szCs w:val="24"/>
        </w:rPr>
        <w:t>本协议与工程施工合同同步有效至施工结束工程移交甲方结束。</w:t>
      </w:r>
      <w:r>
        <w:rPr>
          <w:rFonts w:hint="default" w:ascii="仿宋" w:hAnsi="仿宋" w:eastAsia="仿宋"/>
          <w:color w:val="000000"/>
          <w:position w:val="0"/>
          <w:sz w:val="24"/>
          <w:szCs w:val="24"/>
        </w:rPr>
        <w:br w:type="textWrapping"/>
      </w:r>
      <w:r>
        <w:rPr>
          <w:rFonts w:hint="default" w:ascii="仿宋" w:hAnsi="仿宋" w:eastAsia="仿宋"/>
          <w:color w:val="000000"/>
          <w:position w:val="0"/>
          <w:sz w:val="24"/>
          <w:szCs w:val="24"/>
        </w:rPr>
        <w:t xml:space="preserve">   </w:t>
      </w:r>
      <w:r>
        <w:rPr>
          <w:rFonts w:hint="default" w:ascii="仿宋" w:hAnsi="仿宋" w:eastAsia="仿宋"/>
          <w:b/>
          <w:color w:val="000000"/>
          <w:position w:val="0"/>
          <w:sz w:val="24"/>
          <w:szCs w:val="24"/>
        </w:rPr>
        <w:t>五、发包人的安全责任：</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1、对承包人的资质进行审查，确认其符合且具备下列条件：</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1.1持有有相关部门颁发的营业执照和资质证书：持有法定代表人身份证明书、授权委托书。</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1.2相关负责人、工程技术人员和特种作业人员的配置及持证符合安全生产要求。</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1.3配备的机械、工器具及安全防护设施、安全用具满足安全生产需要。</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1.4应有的安全管理制度齐全。保括各工种的安全操作规程、特种作业人员的审证考核制度、各级安全生产岗位责任制和定期安全检查、安全教育等制度。</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1.5承包人专职安全管理机构人员配备情况。</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2、开工前发包人必须对承包人项目负责人等，进行全面的安全技术及文明施工交底，应有完整的交底资料和交底记录，并经双方交底人员签字。并要求承包人事先制定施工方案，明确“三措”（组织措施、安全措施、技术措施），经发包人工程部门审查合格后方可施工。</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3、不定期检查承包人施工现场，对承包人人员在生产工作中违反有关安全生产规章制度的行为予以制止和纠正，并发出有存底联的书面整改通知书；对承包人人员在生产工作中违反有关安全生产规章制度的行为予以经济处罚，对严重违章的行为立即勒令停止其工作。</w:t>
      </w:r>
    </w:p>
    <w:p>
      <w:pPr>
        <w:numPr>
          <w:ilvl w:val="0"/>
          <w:numId w:val="0"/>
        </w:numPr>
        <w:autoSpaceDE/>
        <w:autoSpaceDN/>
        <w:snapToGrid w:val="0"/>
        <w:spacing w:before="0" w:after="0" w:line="360" w:lineRule="auto"/>
        <w:ind w:right="0" w:firstLine="482"/>
        <w:jc w:val="both"/>
        <w:rPr>
          <w:rFonts w:hint="default" w:ascii="仿宋" w:hAnsi="仿宋_GB2312" w:eastAsia="仿宋_GB2312"/>
          <w:b/>
          <w:color w:val="000000"/>
          <w:position w:val="0"/>
          <w:sz w:val="24"/>
          <w:szCs w:val="24"/>
        </w:rPr>
      </w:pPr>
      <w:r>
        <w:rPr>
          <w:rFonts w:hint="default" w:ascii="仿宋" w:hAnsi="仿宋" w:eastAsia="仿宋"/>
          <w:b/>
          <w:color w:val="000000"/>
          <w:position w:val="0"/>
          <w:sz w:val="24"/>
          <w:szCs w:val="24"/>
        </w:rPr>
        <w:t>六、承包人安全责任</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1、承包人对所承担的施工项目，必须制订施工方案，并结合工程实际制定好保证安全的“三大措施” (组织、技术、安全措施)，经发包人</w:t>
      </w:r>
      <w:r>
        <w:rPr>
          <w:rFonts w:hint="default" w:ascii="仿宋" w:hAnsi="仿宋" w:eastAsia="仿宋"/>
          <w:color w:val="auto"/>
          <w:position w:val="0"/>
          <w:sz w:val="24"/>
          <w:szCs w:val="24"/>
        </w:rPr>
        <w:t>及发包人委托</w:t>
      </w:r>
      <w:r>
        <w:rPr>
          <w:rFonts w:hint="default" w:ascii="仿宋" w:hAnsi="仿宋" w:eastAsia="仿宋"/>
          <w:color w:val="000000"/>
          <w:position w:val="0"/>
          <w:sz w:val="24"/>
          <w:szCs w:val="24"/>
        </w:rPr>
        <w:t>的监理单位审查合格后监督实施。</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2、承包人必须贯彻执行国家有关安全生产的方针、政策、法令、法规，遵守国家、行业有关安全施工、文明施工的规定。遵守现场的各项规章制度。</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3、工程开工前，承包人必须组织全体施工人员分工种进行安全教育、技能和安规考试，合格后方可进入现场施工。需调换工种、增补或调动人员者，在上岗前均必须进行安全教育和技能安规考试，并报给发包人安监部门备案。特种作业人员，必须持有有效的《特种作业证》。</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4、承包人工作人员必须无妨碍工作的病症，否则不得参与工作。凡已注册的工程施工人员不得随意更换，不得冒名顶替。</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5、工程开工前，必须向施工人员进行安全技术交底，让全体施工人员掌握工程特点及施工安全措施。</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6、承包人进行特殊作业、危险作业的项目施工时，必须事先编制安全施工措施，填写安全施工作业票；从事电气上的工作，一切施工活动都要办理安全施工作业票（或工作票），并派员监督。</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7、承包人应自觉接受发包人</w:t>
      </w:r>
      <w:r>
        <w:rPr>
          <w:rFonts w:hint="default" w:ascii="仿宋" w:hAnsi="仿宋" w:eastAsia="仿宋"/>
          <w:color w:val="auto"/>
          <w:position w:val="0"/>
          <w:sz w:val="24"/>
          <w:szCs w:val="24"/>
        </w:rPr>
        <w:t>监督和指导。对发包人检</w:t>
      </w:r>
      <w:r>
        <w:rPr>
          <w:rFonts w:hint="default" w:ascii="仿宋" w:hAnsi="仿宋" w:eastAsia="仿宋"/>
          <w:color w:val="000000"/>
          <w:position w:val="0"/>
          <w:sz w:val="24"/>
          <w:szCs w:val="24"/>
        </w:rPr>
        <w:t>查提出的安全整改通知，必须及时整改。施工中一旦发生人身事故或危及生产运行的不安全情况，必须立即报告发包方安全监察部门。</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8、承包人必须按国家有关规定，为施工人员配备合格的劳动防护用品及安全用具，并保证施工工具、器械使用安全。</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9、开工前应对施工机械、工器具及安全防护设施进行一次检查，确保符合安全规定并不超过检验周期。承包人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承包人不得擅自拆除、更改。</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10、承包人承建的项目，禁止再行转包，非主体工程需要分包的，必须报发包方工程部书面批准。总包方必须对分包方进行安全管理与监督，分包工程发生安全事故时，总包单位与分包单位承担连带责任。</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11、应按《中华人民共和国劳动法》等法律、法规、规定用工，严禁使用未成年工和有职业禁忌的人员进行施工作业。</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12、承包人应对工作地段采取的安全技术措施、工作班人员状态以及施工中的安全责任负责；如因承包人采取的安全措施不当、违反有关安全规程、规定及本协议所列安全事项而造成的一切事故或对第三方造成损失的，均由承包人承担所造成的经济损失及法律责任。</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13、承包人必须保证安全经费的投入，工程开工前应向承包人提交安全设施投入计划。</w:t>
      </w:r>
    </w:p>
    <w:p>
      <w:pPr>
        <w:numPr>
          <w:ilvl w:val="0"/>
          <w:numId w:val="0"/>
        </w:numPr>
        <w:autoSpaceDE/>
        <w:autoSpaceDN/>
        <w:snapToGrid w:val="0"/>
        <w:spacing w:before="0" w:after="0" w:line="360" w:lineRule="auto"/>
        <w:ind w:right="0" w:firstLine="482"/>
        <w:jc w:val="both"/>
        <w:rPr>
          <w:rFonts w:hint="default" w:ascii="仿宋" w:hAnsi="仿宋_GB2312" w:eastAsia="仿宋_GB2312"/>
          <w:b/>
          <w:color w:val="000000"/>
          <w:position w:val="0"/>
          <w:sz w:val="24"/>
          <w:szCs w:val="24"/>
        </w:rPr>
      </w:pPr>
      <w:r>
        <w:rPr>
          <w:rFonts w:hint="default" w:ascii="仿宋" w:hAnsi="仿宋" w:eastAsia="仿宋"/>
          <w:b/>
          <w:color w:val="000000"/>
          <w:position w:val="0"/>
          <w:sz w:val="24"/>
          <w:szCs w:val="24"/>
        </w:rPr>
        <w:t>七、其他</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1、承包人施工人员违反有关安全生产规程制度时，发包人有权予以纠正制止，有权对承包人给予经济处罚，直至停止承包人的工作、解除承包合同。</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2、因承包人责任造成的安全事故，由发包人按事故调查规程处理。根据《中华人民共和国建筑法》第四十五条的规定：“施工现场安全由建筑施工企业负责”，因承包人的责任造成的人身伤亡、设备损坏事故及其造成的经济损失,一切责任由承包人承担，并通知有关政府部门调查处理、统计上报。</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3、本协议执行过程中，如发生争议，由双方协商、调解解决；若经协商、调解不能解决争议的，任何一方可以向恩施市人民法院提起诉讼。</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r>
        <w:rPr>
          <w:rFonts w:hint="default" w:ascii="仿宋" w:hAnsi="仿宋" w:eastAsia="仿宋"/>
          <w:color w:val="000000"/>
          <w:position w:val="0"/>
          <w:sz w:val="24"/>
          <w:szCs w:val="24"/>
        </w:rPr>
        <w:t>4、发、承包双方必须严格执行本协议，本协议的法律效力独立于主合同。</w:t>
      </w:r>
    </w:p>
    <w:p>
      <w:pPr>
        <w:numPr>
          <w:ilvl w:val="0"/>
          <w:numId w:val="0"/>
        </w:numPr>
        <w:autoSpaceDE/>
        <w:autoSpaceDN/>
        <w:snapToGrid w:val="0"/>
        <w:spacing w:before="0" w:after="0" w:line="360" w:lineRule="auto"/>
        <w:ind w:right="0" w:firstLine="480"/>
        <w:jc w:val="both"/>
        <w:rPr>
          <w:rFonts w:hint="default" w:ascii="仿宋" w:hAnsi="仿宋_GB2312" w:eastAsia="仿宋_GB2312"/>
          <w:color w:val="000000"/>
          <w:position w:val="0"/>
          <w:sz w:val="24"/>
          <w:szCs w:val="24"/>
        </w:rPr>
      </w:pPr>
    </w:p>
    <w:tbl>
      <w:tblPr>
        <w:tblStyle w:val="31"/>
        <w:tblpPr w:leftFromText="180" w:rightFromText="180" w:vertAnchor="text" w:horzAnchor="page" w:tblpX="1715" w:tblpY="1308"/>
        <w:tblOverlap w:val="never"/>
        <w:tblW w:w="8840" w:type="dxa"/>
        <w:tblInd w:w="0" w:type="dxa"/>
        <w:tblLayout w:type="fixed"/>
        <w:tblCellMar>
          <w:top w:w="0" w:type="dxa"/>
          <w:left w:w="108" w:type="dxa"/>
          <w:bottom w:w="0" w:type="dxa"/>
          <w:right w:w="108" w:type="dxa"/>
        </w:tblCellMar>
      </w:tblPr>
      <w:tblGrid>
        <w:gridCol w:w="1512"/>
        <w:gridCol w:w="2908"/>
        <w:gridCol w:w="1547"/>
        <w:gridCol w:w="2873"/>
      </w:tblGrid>
      <w:tr>
        <w:tblPrEx>
          <w:tblLayout w:type="fixed"/>
          <w:tblCellMar>
            <w:top w:w="0" w:type="dxa"/>
            <w:left w:w="108" w:type="dxa"/>
            <w:bottom w:w="0" w:type="dxa"/>
            <w:right w:w="108" w:type="dxa"/>
          </w:tblCellMar>
        </w:tblPrEx>
        <w:trPr>
          <w:trHeight w:val="842" w:hRule="atLeast"/>
        </w:trPr>
        <w:tc>
          <w:tcPr>
            <w:tcW w:w="1512" w:type="dxa"/>
            <w:vAlign w:val="center"/>
          </w:tcPr>
          <w:p>
            <w:pPr>
              <w:numPr>
                <w:ilvl w:val="0"/>
                <w:numId w:val="0"/>
              </w:numPr>
              <w:autoSpaceDE/>
              <w:autoSpaceDN/>
              <w:snapToGrid w:val="0"/>
              <w:spacing w:before="0" w:after="200" w:line="360" w:lineRule="auto"/>
              <w:ind w:right="0" w:firstLine="0"/>
              <w:jc w:val="left"/>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发包人</w:t>
            </w:r>
          </w:p>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(盖章)：</w:t>
            </w:r>
          </w:p>
        </w:tc>
        <w:tc>
          <w:tcPr>
            <w:tcW w:w="2908" w:type="dxa"/>
            <w:vAlign w:val="center"/>
          </w:tcPr>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p>
        </w:tc>
        <w:tc>
          <w:tcPr>
            <w:tcW w:w="1547" w:type="dxa"/>
            <w:vAlign w:val="center"/>
          </w:tcPr>
          <w:p>
            <w:pPr>
              <w:numPr>
                <w:ilvl w:val="0"/>
                <w:numId w:val="0"/>
              </w:numPr>
              <w:autoSpaceDE/>
              <w:autoSpaceDN/>
              <w:snapToGrid w:val="0"/>
              <w:spacing w:before="0" w:after="200" w:line="360" w:lineRule="auto"/>
              <w:ind w:right="0" w:firstLine="0"/>
              <w:jc w:val="left"/>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承包人</w:t>
            </w:r>
          </w:p>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(盖章)：</w:t>
            </w:r>
          </w:p>
        </w:tc>
        <w:tc>
          <w:tcPr>
            <w:tcW w:w="2873" w:type="dxa"/>
            <w:vAlign w:val="center"/>
          </w:tcPr>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p>
        </w:tc>
      </w:tr>
      <w:tr>
        <w:tblPrEx>
          <w:tblLayout w:type="fixed"/>
          <w:tblCellMar>
            <w:top w:w="0" w:type="dxa"/>
            <w:left w:w="108" w:type="dxa"/>
            <w:bottom w:w="0" w:type="dxa"/>
            <w:right w:w="108" w:type="dxa"/>
          </w:tblCellMar>
        </w:tblPrEx>
        <w:trPr>
          <w:trHeight w:val="494" w:hRule="atLeast"/>
        </w:trPr>
        <w:tc>
          <w:tcPr>
            <w:tcW w:w="4420" w:type="dxa"/>
            <w:gridSpan w:val="2"/>
            <w:vAlign w:val="center"/>
          </w:tcPr>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法定代表人或</w:t>
            </w:r>
          </w:p>
        </w:tc>
        <w:tc>
          <w:tcPr>
            <w:tcW w:w="4420" w:type="dxa"/>
            <w:gridSpan w:val="2"/>
            <w:vAlign w:val="center"/>
          </w:tcPr>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法定代表人或</w:t>
            </w:r>
          </w:p>
        </w:tc>
      </w:tr>
      <w:tr>
        <w:tblPrEx>
          <w:tblLayout w:type="fixed"/>
          <w:tblCellMar>
            <w:top w:w="0" w:type="dxa"/>
            <w:left w:w="108" w:type="dxa"/>
            <w:bottom w:w="0" w:type="dxa"/>
            <w:right w:w="108" w:type="dxa"/>
          </w:tblCellMar>
        </w:tblPrEx>
        <w:trPr>
          <w:trHeight w:val="674" w:hRule="atLeast"/>
        </w:trPr>
        <w:tc>
          <w:tcPr>
            <w:tcW w:w="4420" w:type="dxa"/>
            <w:gridSpan w:val="2"/>
            <w:vAlign w:val="center"/>
          </w:tcPr>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授权代理人（签字或盖章）：</w:t>
            </w:r>
          </w:p>
        </w:tc>
        <w:tc>
          <w:tcPr>
            <w:tcW w:w="4420" w:type="dxa"/>
            <w:gridSpan w:val="2"/>
            <w:vAlign w:val="center"/>
          </w:tcPr>
          <w:p>
            <w:pPr>
              <w:numPr>
                <w:ilvl w:val="0"/>
                <w:numId w:val="0"/>
              </w:numPr>
              <w:autoSpaceDE/>
              <w:autoSpaceDN/>
              <w:snapToGrid w:val="0"/>
              <w:spacing w:before="0" w:after="200" w:line="360" w:lineRule="auto"/>
              <w:ind w:right="0" w:firstLine="0"/>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授权代理人（签字或盖章）：</w:t>
            </w:r>
          </w:p>
        </w:tc>
      </w:tr>
      <w:tr>
        <w:tblPrEx>
          <w:tblLayout w:type="fixed"/>
          <w:tblCellMar>
            <w:top w:w="0" w:type="dxa"/>
            <w:left w:w="108" w:type="dxa"/>
            <w:bottom w:w="0" w:type="dxa"/>
            <w:right w:w="108" w:type="dxa"/>
          </w:tblCellMar>
        </w:tblPrEx>
        <w:trPr>
          <w:trHeight w:val="385" w:hRule="atLeast"/>
        </w:trPr>
        <w:tc>
          <w:tcPr>
            <w:tcW w:w="4420" w:type="dxa"/>
            <w:gridSpan w:val="2"/>
            <w:vAlign w:val="center"/>
          </w:tcPr>
          <w:p>
            <w:pPr>
              <w:numPr>
                <w:ilvl w:val="0"/>
                <w:numId w:val="0"/>
              </w:numPr>
              <w:autoSpaceDE/>
              <w:autoSpaceDN/>
              <w:snapToGrid w:val="0"/>
              <w:spacing w:before="0" w:after="200" w:line="360" w:lineRule="auto"/>
              <w:ind w:right="0" w:firstLine="1235"/>
              <w:jc w:val="left"/>
              <w:rPr>
                <w:rFonts w:hint="default" w:ascii="仿宋" w:hAnsi="仿宋_GB2312" w:eastAsia="仿宋_GB2312"/>
                <w:color w:val="auto"/>
                <w:position w:val="0"/>
                <w:sz w:val="28"/>
                <w:szCs w:val="28"/>
              </w:rPr>
            </w:pPr>
          </w:p>
          <w:p>
            <w:pPr>
              <w:numPr>
                <w:ilvl w:val="0"/>
                <w:numId w:val="0"/>
              </w:numPr>
              <w:autoSpaceDE/>
              <w:autoSpaceDN/>
              <w:snapToGrid w:val="0"/>
              <w:spacing w:before="0" w:after="200" w:line="360" w:lineRule="auto"/>
              <w:ind w:right="0" w:firstLine="1235"/>
              <w:jc w:val="left"/>
              <w:rPr>
                <w:rFonts w:hint="default" w:ascii="仿宋" w:hAnsi="仿宋_GB2312" w:eastAsia="仿宋_GB2312"/>
                <w:color w:val="auto"/>
                <w:position w:val="0"/>
                <w:sz w:val="28"/>
                <w:szCs w:val="28"/>
              </w:rPr>
            </w:pPr>
          </w:p>
          <w:p>
            <w:pPr>
              <w:numPr>
                <w:ilvl w:val="0"/>
                <w:numId w:val="0"/>
              </w:numPr>
              <w:autoSpaceDE/>
              <w:autoSpaceDN/>
              <w:snapToGrid w:val="0"/>
              <w:spacing w:before="0" w:after="200" w:line="360" w:lineRule="auto"/>
              <w:ind w:right="0" w:firstLine="1235"/>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年    月    日</w:t>
            </w:r>
          </w:p>
        </w:tc>
        <w:tc>
          <w:tcPr>
            <w:tcW w:w="4420" w:type="dxa"/>
            <w:gridSpan w:val="2"/>
            <w:vAlign w:val="center"/>
          </w:tcPr>
          <w:p>
            <w:pPr>
              <w:numPr>
                <w:ilvl w:val="0"/>
                <w:numId w:val="0"/>
              </w:numPr>
              <w:autoSpaceDE/>
              <w:autoSpaceDN/>
              <w:snapToGrid w:val="0"/>
              <w:spacing w:before="0" w:after="200" w:line="360" w:lineRule="auto"/>
              <w:ind w:right="0" w:firstLine="1235"/>
              <w:jc w:val="left"/>
              <w:rPr>
                <w:rFonts w:hint="default" w:ascii="仿宋" w:hAnsi="仿宋_GB2312" w:eastAsia="仿宋_GB2312"/>
                <w:color w:val="auto"/>
                <w:position w:val="0"/>
                <w:sz w:val="28"/>
                <w:szCs w:val="28"/>
              </w:rPr>
            </w:pPr>
          </w:p>
          <w:p>
            <w:pPr>
              <w:numPr>
                <w:ilvl w:val="0"/>
                <w:numId w:val="0"/>
              </w:numPr>
              <w:autoSpaceDE/>
              <w:autoSpaceDN/>
              <w:snapToGrid w:val="0"/>
              <w:spacing w:before="0" w:after="200" w:line="360" w:lineRule="auto"/>
              <w:ind w:right="0" w:firstLine="1235"/>
              <w:jc w:val="left"/>
              <w:rPr>
                <w:rFonts w:hint="default" w:ascii="仿宋" w:hAnsi="仿宋_GB2312" w:eastAsia="仿宋_GB2312"/>
                <w:color w:val="auto"/>
                <w:position w:val="0"/>
                <w:sz w:val="28"/>
                <w:szCs w:val="28"/>
              </w:rPr>
            </w:pPr>
          </w:p>
          <w:p>
            <w:pPr>
              <w:numPr>
                <w:ilvl w:val="0"/>
                <w:numId w:val="0"/>
              </w:numPr>
              <w:autoSpaceDE/>
              <w:autoSpaceDN/>
              <w:snapToGrid w:val="0"/>
              <w:spacing w:before="0" w:after="200" w:line="360" w:lineRule="auto"/>
              <w:ind w:right="0" w:firstLine="1235"/>
              <w:jc w:val="both"/>
              <w:rPr>
                <w:rFonts w:hint="default" w:ascii="仿宋" w:hAnsi="仿宋_GB2312" w:eastAsia="仿宋_GB2312"/>
                <w:color w:val="auto"/>
                <w:position w:val="0"/>
                <w:sz w:val="28"/>
                <w:szCs w:val="28"/>
              </w:rPr>
            </w:pPr>
            <w:r>
              <w:rPr>
                <w:rFonts w:hint="default" w:ascii="仿宋" w:hAnsi="仿宋" w:eastAsia="仿宋"/>
                <w:color w:val="auto"/>
                <w:position w:val="0"/>
                <w:sz w:val="28"/>
                <w:szCs w:val="28"/>
              </w:rPr>
              <w:t>年    月    日</w:t>
            </w:r>
          </w:p>
        </w:tc>
      </w:tr>
    </w:tbl>
    <w:p>
      <w:pPr>
        <w:numPr>
          <w:ilvl w:val="0"/>
          <w:numId w:val="0"/>
        </w:numPr>
        <w:autoSpaceDE/>
        <w:autoSpaceDN/>
        <w:snapToGrid w:val="0"/>
        <w:spacing w:before="0" w:after="200" w:line="360" w:lineRule="auto"/>
        <w:ind w:right="0" w:firstLine="560"/>
        <w:jc w:val="left"/>
        <w:rPr>
          <w:rFonts w:hint="default" w:ascii="仿宋" w:hAnsi="Times New Roman" w:eastAsia="Times New Roman"/>
          <w:color w:val="000000"/>
          <w:position w:val="0"/>
          <w:sz w:val="28"/>
          <w:szCs w:val="28"/>
        </w:rPr>
      </w:pPr>
      <w:r>
        <w:rPr>
          <w:rFonts w:hint="default" w:ascii="仿宋" w:hAnsi="仿宋" w:eastAsia="仿宋"/>
          <w:color w:val="000000"/>
          <w:position w:val="0"/>
          <w:sz w:val="28"/>
          <w:szCs w:val="28"/>
        </w:rPr>
        <w:t>5、本协议经双方法定代表人或委托代理人签字盖章后生效。</w:t>
      </w:r>
    </w:p>
    <w:p>
      <w:pPr>
        <w:numPr>
          <w:ilvl w:val="0"/>
          <w:numId w:val="0"/>
        </w:numPr>
        <w:autoSpaceDE/>
        <w:autoSpaceDN/>
        <w:snapToGrid w:val="0"/>
        <w:spacing w:before="0" w:after="200" w:line="440" w:lineRule="exact"/>
        <w:ind w:right="0" w:firstLine="0"/>
        <w:jc w:val="left"/>
        <w:rPr>
          <w:rFonts w:hint="default" w:ascii="仿宋" w:hAnsi="仿宋" w:eastAsia="仿宋"/>
          <w:color w:val="auto"/>
          <w:position w:val="0"/>
          <w:sz w:val="20"/>
          <w:szCs w:val="20"/>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color w:val="auto"/>
          <w:position w:val="0"/>
          <w:sz w:val="28"/>
          <w:szCs w:val="28"/>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p>
      <w:pPr>
        <w:pStyle w:val="2"/>
        <w:numPr>
          <w:ilvl w:val="0"/>
          <w:numId w:val="0"/>
        </w:numPr>
        <w:autoSpaceDE/>
        <w:autoSpaceDN/>
        <w:snapToGrid/>
        <w:spacing w:before="340" w:after="330" w:line="576" w:lineRule="auto"/>
        <w:ind w:right="0" w:firstLine="0"/>
        <w:jc w:val="center"/>
        <w:outlineLvl w:val="0"/>
        <w:rPr>
          <w:rFonts w:hint="default" w:ascii="宋体" w:hAnsi="Times New Roman" w:eastAsia="Times New Roman"/>
          <w:b/>
          <w:color w:val="auto"/>
          <w:position w:val="0"/>
          <w:sz w:val="28"/>
          <w:szCs w:val="28"/>
        </w:rPr>
      </w:pPr>
    </w:p>
    <w:p>
      <w:pPr>
        <w:pStyle w:val="2"/>
        <w:numPr>
          <w:ilvl w:val="0"/>
          <w:numId w:val="0"/>
        </w:numPr>
        <w:autoSpaceDE/>
        <w:autoSpaceDN/>
        <w:snapToGrid/>
        <w:spacing w:before="340" w:after="330" w:line="576" w:lineRule="auto"/>
        <w:ind w:right="0" w:firstLine="0"/>
        <w:jc w:val="center"/>
        <w:outlineLvl w:val="0"/>
        <w:rPr>
          <w:rFonts w:hint="default" w:ascii="宋体" w:hAnsi="宋体" w:eastAsia="宋体"/>
          <w:b w:val="0"/>
          <w:color w:val="auto"/>
          <w:position w:val="0"/>
          <w:sz w:val="28"/>
          <w:szCs w:val="28"/>
        </w:rPr>
      </w:pPr>
      <w:r>
        <w:rPr>
          <w:rFonts w:hint="default" w:ascii="宋体" w:hAnsi="Times New Roman" w:eastAsia="Times New Roman"/>
          <w:b/>
          <w:color w:val="auto"/>
          <w:position w:val="0"/>
          <w:sz w:val="28"/>
          <w:szCs w:val="28"/>
        </w:rPr>
        <w:t>第五章  谈判响应文件格式</w:t>
      </w:r>
      <w:bookmarkEnd w:id="586"/>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1.响应文件封面格式</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28"/>
          <w:szCs w:val="28"/>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r>
        <w:rPr>
          <w:rFonts w:hint="default" w:ascii="宋体" w:hAnsi="宋体" w:eastAsia="宋体"/>
          <w:b/>
          <w:color w:val="auto"/>
          <w:position w:val="0"/>
          <w:sz w:val="32"/>
          <w:szCs w:val="32"/>
        </w:rPr>
        <w:t>小楼门星级厕所改建工程</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r>
        <w:rPr>
          <w:rFonts w:hint="default" w:ascii="宋体" w:hAnsi="宋体" w:eastAsia="宋体"/>
          <w:b/>
          <w:color w:val="auto"/>
          <w:position w:val="0"/>
          <w:sz w:val="32"/>
          <w:szCs w:val="32"/>
        </w:rPr>
        <w:t>竞争性谈判</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响</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应</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文</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44"/>
          <w:szCs w:val="44"/>
        </w:rPr>
      </w:pPr>
      <w:r>
        <w:rPr>
          <w:rFonts w:hint="default" w:ascii="宋体" w:hAnsi="宋体" w:eastAsia="宋体"/>
          <w:b/>
          <w:color w:val="auto"/>
          <w:position w:val="0"/>
          <w:sz w:val="44"/>
          <w:szCs w:val="44"/>
        </w:rPr>
        <w:t>件</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28"/>
          <w:szCs w:val="28"/>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28"/>
          <w:szCs w:val="28"/>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28"/>
          <w:szCs w:val="28"/>
        </w:rPr>
      </w:pPr>
      <w:r>
        <w:rPr>
          <w:rFonts w:hint="default" w:ascii="宋体" w:hAnsi="宋体" w:eastAsia="宋体"/>
          <w:b/>
          <w:color w:val="auto"/>
          <w:position w:val="0"/>
          <w:sz w:val="28"/>
          <w:szCs w:val="28"/>
        </w:rPr>
        <w:t>投标人：（全称并盖章）</w:t>
      </w:r>
    </w:p>
    <w:p>
      <w:pPr>
        <w:numPr>
          <w:ilvl w:val="0"/>
          <w:numId w:val="0"/>
        </w:numPr>
        <w:autoSpaceDE/>
        <w:autoSpaceDN/>
        <w:snapToGrid w:val="0"/>
        <w:spacing w:before="0" w:after="200" w:line="220" w:lineRule="atLeast"/>
        <w:ind w:right="0" w:firstLine="0"/>
        <w:jc w:val="left"/>
        <w:rPr>
          <w:rFonts w:hint="default" w:ascii="宋体" w:hAnsi="宋体" w:eastAsia="宋体"/>
          <w:b/>
          <w:color w:val="auto"/>
          <w:position w:val="0"/>
          <w:sz w:val="28"/>
          <w:szCs w:val="28"/>
        </w:rPr>
      </w:pPr>
      <w:r>
        <w:rPr>
          <w:rFonts w:hint="default" w:ascii="宋体" w:hAnsi="宋体" w:eastAsia="宋体"/>
          <w:b/>
          <w:color w:val="auto"/>
          <w:position w:val="0"/>
          <w:sz w:val="28"/>
          <w:szCs w:val="28"/>
        </w:rPr>
        <w:t>法定代表人或其委托代理人：（签字）</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28"/>
          <w:szCs w:val="28"/>
        </w:rPr>
      </w:pPr>
      <w:r>
        <w:rPr>
          <w:rFonts w:hint="default" w:ascii="宋体" w:hAnsi="宋体" w:eastAsia="宋体"/>
          <w:b/>
          <w:color w:val="auto"/>
          <w:position w:val="0"/>
          <w:sz w:val="28"/>
          <w:szCs w:val="28"/>
          <w:u w:val="single"/>
        </w:rPr>
        <w:t xml:space="preserve">       </w:t>
      </w:r>
      <w:r>
        <w:rPr>
          <w:rFonts w:hint="default" w:ascii="宋体" w:hAnsi="宋体" w:eastAsia="宋体"/>
          <w:b/>
          <w:color w:val="auto"/>
          <w:position w:val="0"/>
          <w:sz w:val="28"/>
          <w:szCs w:val="28"/>
        </w:rPr>
        <w:t>年</w:t>
      </w:r>
      <w:r>
        <w:rPr>
          <w:rFonts w:hint="default" w:ascii="宋体" w:hAnsi="宋体" w:eastAsia="宋体"/>
          <w:b/>
          <w:color w:val="auto"/>
          <w:position w:val="0"/>
          <w:sz w:val="28"/>
          <w:szCs w:val="28"/>
          <w:u w:val="single"/>
        </w:rPr>
        <w:t xml:space="preserve">   </w:t>
      </w:r>
      <w:r>
        <w:rPr>
          <w:rFonts w:hint="default" w:ascii="宋体" w:hAnsi="宋体" w:eastAsia="宋体"/>
          <w:b/>
          <w:color w:val="auto"/>
          <w:position w:val="0"/>
          <w:sz w:val="28"/>
          <w:szCs w:val="28"/>
        </w:rPr>
        <w:t>月</w:t>
      </w:r>
      <w:r>
        <w:rPr>
          <w:rFonts w:hint="default" w:ascii="宋体" w:hAnsi="宋体" w:eastAsia="宋体"/>
          <w:b/>
          <w:color w:val="auto"/>
          <w:position w:val="0"/>
          <w:sz w:val="28"/>
          <w:szCs w:val="28"/>
          <w:u w:val="single"/>
        </w:rPr>
        <w:t xml:space="preserve">   </w:t>
      </w:r>
      <w:r>
        <w:rPr>
          <w:rFonts w:hint="default" w:ascii="宋体" w:hAnsi="宋体" w:eastAsia="宋体"/>
          <w:b/>
          <w:color w:val="auto"/>
          <w:position w:val="0"/>
          <w:sz w:val="28"/>
          <w:szCs w:val="28"/>
        </w:rPr>
        <w:t>日</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28"/>
          <w:szCs w:val="28"/>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2.截取挂网公告放于响应文件首页</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center"/>
        <w:rPr>
          <w:rFonts w:hint="default" w:ascii="微软雅黑" w:hAnsi="微软雅黑" w:eastAsia="微软雅黑"/>
          <w:color w:val="auto"/>
          <w:position w:val="0"/>
          <w:sz w:val="28"/>
          <w:szCs w:val="28"/>
        </w:rPr>
      </w:pPr>
      <w:r>
        <w:rPr>
          <w:rFonts w:hint="default" w:ascii="微软雅黑" w:hAnsi="Tahoma" w:eastAsia="Tahoma"/>
          <w:color w:val="auto"/>
          <w:position w:val="0"/>
          <w:sz w:val="28"/>
          <w:szCs w:val="28"/>
        </w:rPr>
        <w:t>挂网公告</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3.投标报价文件格式</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3.1投标函格式</w:t>
      </w:r>
    </w:p>
    <w:p>
      <w:pPr>
        <w:numPr>
          <w:ilvl w:val="0"/>
          <w:numId w:val="0"/>
        </w:numPr>
        <w:autoSpaceDE/>
        <w:autoSpaceDN/>
        <w:snapToGrid w:val="0"/>
        <w:spacing w:before="0" w:after="0" w:line="360" w:lineRule="auto"/>
        <w:ind w:right="0" w:firstLine="0"/>
        <w:jc w:val="center"/>
        <w:rPr>
          <w:rFonts w:hint="default" w:ascii="宋体" w:hAnsi="宋体" w:eastAsia="宋体"/>
          <w:b/>
          <w:color w:val="auto"/>
          <w:position w:val="0"/>
          <w:sz w:val="32"/>
          <w:szCs w:val="32"/>
        </w:rPr>
      </w:pPr>
      <w:r>
        <w:rPr>
          <w:rFonts w:hint="default" w:ascii="宋体" w:hAnsi="宋体" w:eastAsia="宋体"/>
          <w:b/>
          <w:color w:val="auto"/>
          <w:position w:val="0"/>
          <w:sz w:val="32"/>
          <w:szCs w:val="32"/>
        </w:rPr>
        <w:t>投 标 函</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致：</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（采购人）</w:t>
      </w:r>
    </w:p>
    <w:p>
      <w:pPr>
        <w:numPr>
          <w:ilvl w:val="0"/>
          <w:numId w:val="0"/>
        </w:numPr>
        <w:autoSpaceDE/>
        <w:autoSpaceDN/>
        <w:snapToGrid w:val="0"/>
        <w:spacing w:before="0" w:after="0" w:line="360" w:lineRule="auto"/>
        <w:ind w:right="0" w:firstLine="465"/>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根据贵方</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项目的谈判公告及谈判文件，我方签字代表</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（姓名）经正式授权并代表投标人</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（投标人全称）提交本项目的投标响应文件：正本一份、副本四份。</w:t>
      </w:r>
    </w:p>
    <w:p>
      <w:pPr>
        <w:numPr>
          <w:ilvl w:val="0"/>
          <w:numId w:val="0"/>
        </w:numPr>
        <w:autoSpaceDE/>
        <w:autoSpaceDN/>
        <w:snapToGrid w:val="0"/>
        <w:spacing w:before="0" w:after="200" w:line="240" w:lineRule="auto"/>
        <w:ind w:left="440"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愿意按照竞争性谈判文件中的一切要求，提供工程施工和服务，报价为：人民币大写：</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元整；人民币小写RMB：</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元。</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据此函，我方承诺如下：</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1.我方已详细审查全部“谈判文件”，包括修改文件以及全部参考资料和有关附件，已经了解我方对于谈判文件、采购过程、采购结果有依法进行询问、质疑、投诉的权利及相关渠道和要求。</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2.我方完全理解并接受谈判文件的各项规定和要求，对谈判文件的合理性、合法性不再有异议。</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3.我方愿意按照谈判文件规定的各项要求，向采购人提供合格的服务。</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4.我方同意从谈判文件规定的开标日期起遵循本投标响应文件，并在谈判文件规定的谈判有效期内均具有约束力。</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5.如我方中标，本响应文件至本项目合同履行完毕止均保持有效，本投标人将按“谈判文件”及法律、法规的规定履行合同责任和义务。</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6.我方同意按照贵方要求提供与投标有关的一切数据或资料。</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7.与本投标有关的一切正式往来信函请寄：</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地址：</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 xml:space="preserve"> 邮编：</w:t>
      </w:r>
      <w:r>
        <w:rPr>
          <w:rFonts w:hint="default" w:ascii="宋体" w:hAnsi="宋体" w:eastAsia="宋体"/>
          <w:color w:val="auto"/>
          <w:position w:val="0"/>
          <w:sz w:val="24"/>
          <w:szCs w:val="24"/>
          <w:u w:val="single"/>
        </w:rPr>
        <w:t xml:space="preserve">                      </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u w:val="single"/>
        </w:rPr>
      </w:pPr>
      <w:r>
        <w:rPr>
          <w:rFonts w:hint="default" w:ascii="宋体" w:hAnsi="宋体" w:eastAsia="宋体"/>
          <w:color w:val="auto"/>
          <w:position w:val="0"/>
          <w:sz w:val="24"/>
          <w:szCs w:val="24"/>
        </w:rPr>
        <w:t>电话：</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传真：</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电子信箱：</w:t>
      </w:r>
      <w:r>
        <w:rPr>
          <w:rFonts w:hint="default" w:ascii="宋体" w:hAnsi="宋体" w:eastAsia="宋体"/>
          <w:color w:val="auto"/>
          <w:position w:val="0"/>
          <w:sz w:val="24"/>
          <w:szCs w:val="24"/>
          <w:u w:val="single"/>
        </w:rPr>
        <w:t xml:space="preserve">                  </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投标人（公章）：</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法定代表人或委托代理人（签名）：</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日期：</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年</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月</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日</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3.2报价书</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center"/>
        <w:rPr>
          <w:rFonts w:hint="default" w:ascii="宋体" w:hAnsi="宋体" w:eastAsia="宋体"/>
          <w:color w:val="auto"/>
          <w:position w:val="0"/>
          <w:sz w:val="24"/>
          <w:szCs w:val="24"/>
        </w:rPr>
      </w:pPr>
      <w:r>
        <w:rPr>
          <w:rFonts w:hint="default" w:ascii="宋体" w:hAnsi="宋体" w:eastAsia="宋体"/>
          <w:color w:val="auto"/>
          <w:position w:val="0"/>
          <w:sz w:val="24"/>
          <w:szCs w:val="24"/>
        </w:rPr>
        <w:t>报价书（根据招标人提供的工程量清单报价）</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4.商务文件格式</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4.1商务文件目录</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（1）法定代表人授权委托书（格式附后）</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（2）证明投标人合格的资格文件</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（3）投标人业绩</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（4）近三年财务审计报告（2015、2016、2017，成立不足三年的根据实际情况提供）；</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（5）拟派的项目负责人及主要管理人员近三个月（自投标截止时间前推3个月）的社保明细（社保局盖章）。</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（6）投标人在参加投标活动前三年内，在经营活动中没有重大违法记录（提供书面声明）；没有不良行为记录（提供全国建筑市场监管公共服务平台查询记录截图及信用中国查询截图）。</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7）根据《关于落实&lt;恩施州建设领域劳动者工资支付保障实施方法&gt;相关规定的意见》的补充通知（恩施州人社函[2017]35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（8）投标人认为需要提交的其他材料（如有）</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4.2法定代表人授权委托书格式</w:t>
      </w: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p>
    <w:p>
      <w:pPr>
        <w:numPr>
          <w:ilvl w:val="0"/>
          <w:numId w:val="0"/>
        </w:numPr>
        <w:autoSpaceDE/>
        <w:autoSpaceDN/>
        <w:snapToGrid w:val="0"/>
        <w:spacing w:before="0" w:after="200" w:line="220" w:lineRule="atLeast"/>
        <w:ind w:right="0" w:firstLine="0"/>
        <w:jc w:val="center"/>
        <w:rPr>
          <w:rFonts w:hint="default" w:ascii="宋体" w:hAnsi="宋体" w:eastAsia="宋体"/>
          <w:b/>
          <w:color w:val="auto"/>
          <w:position w:val="0"/>
          <w:sz w:val="32"/>
          <w:szCs w:val="32"/>
        </w:rPr>
      </w:pPr>
      <w:r>
        <w:rPr>
          <w:rFonts w:hint="default" w:ascii="宋体" w:hAnsi="宋体" w:eastAsia="宋体"/>
          <w:b/>
          <w:color w:val="auto"/>
          <w:position w:val="0"/>
          <w:sz w:val="32"/>
          <w:szCs w:val="32"/>
        </w:rPr>
        <w:t>法定代表人授权委托书</w:t>
      </w:r>
    </w:p>
    <w:p>
      <w:pPr>
        <w:numPr>
          <w:ilvl w:val="0"/>
          <w:numId w:val="0"/>
        </w:numPr>
        <w:autoSpaceDE/>
        <w:autoSpaceDN/>
        <w:snapToGrid w:val="0"/>
        <w:spacing w:before="0" w:after="200" w:line="220" w:lineRule="atLeast"/>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致：</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（采购人）</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我</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（姓名）是</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（投标人名称）的法定代表人，现授权委托本单位在职职工</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（姓名、职务）以我方的名义参加</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招标项目（编号：</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）的投标活动，并代表我方全权办理针对上述项目的响应文件签署、投标、开标等具体事务和签署与本投标项目相关文件。</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我方对被授权人的签名事项负全部责任。</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w:t>
      </w:r>
      <w:r>
        <w:rPr>
          <w:rFonts w:hint="default" w:ascii="宋体" w:hAnsi="宋体" w:eastAsia="宋体"/>
          <w:color w:val="auto"/>
          <w:position w:val="0"/>
          <w:sz w:val="24"/>
          <w:szCs w:val="24"/>
          <w:u w:val="single"/>
        </w:rPr>
        <w:t>在撤销授权的书面通知到达被授权人以前，本授权书一直有效</w:t>
      </w:r>
      <w:r>
        <w:rPr>
          <w:rFonts w:hint="default" w:ascii="宋体" w:hAnsi="宋体" w:eastAsia="宋体"/>
          <w:color w:val="auto"/>
          <w:position w:val="0"/>
          <w:sz w:val="24"/>
          <w:szCs w:val="24"/>
        </w:rPr>
        <w:t>。被授权人在授权书有效期内签署的所有文件不因授权的撤销而失效。</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被授权人无转委托权，特此委托。</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被授权人签名：                   法定代表人签名：</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职务：                             职务：</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u w:val="single"/>
        </w:rPr>
      </w:pPr>
      <w:r>
        <w:rPr>
          <w:rFonts w:hint="default" w:ascii="宋体" w:hAnsi="宋体" w:eastAsia="宋体"/>
          <w:color w:val="auto"/>
          <w:position w:val="0"/>
          <w:sz w:val="24"/>
          <w:szCs w:val="24"/>
        </w:rPr>
        <w:t>被授权人身份证号码：</w:t>
      </w:r>
      <w:r>
        <w:rPr>
          <w:rFonts w:hint="default" w:ascii="宋体" w:hAnsi="宋体" w:eastAsia="宋体"/>
          <w:color w:val="auto"/>
          <w:position w:val="0"/>
          <w:sz w:val="24"/>
          <w:szCs w:val="24"/>
          <w:u w:val="single"/>
        </w:rPr>
        <w:t xml:space="preserve">                                    </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投标人公章：</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                                     </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年</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月</w:t>
      </w:r>
      <w:r>
        <w:rPr>
          <w:rFonts w:hint="default" w:ascii="宋体" w:hAnsi="宋体" w:eastAsia="宋体"/>
          <w:color w:val="auto"/>
          <w:position w:val="0"/>
          <w:sz w:val="24"/>
          <w:szCs w:val="24"/>
          <w:u w:val="single"/>
        </w:rPr>
        <w:t xml:space="preserve">   </w:t>
      </w:r>
      <w:r>
        <w:rPr>
          <w:rFonts w:hint="default" w:ascii="宋体" w:hAnsi="宋体" w:eastAsia="宋体"/>
          <w:color w:val="auto"/>
          <w:position w:val="0"/>
          <w:sz w:val="24"/>
          <w:szCs w:val="24"/>
        </w:rPr>
        <w:t>日</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4.3证明投标人合格的资格文件，包括：</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（1）企业法人营业执照或事业单位法人证书（副本复印件）；</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（2）具备建设行政主管部门核发的建筑工程总承包三级及以上资质；</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（3）项目负责人应具备房屋建筑工程二级建造师及以上资格证书；</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（4）无犯罪记录告知函；</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4.4投标人业绩。2015年1月1日以来承接的类似项目业绩（格式自拟）</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4.5近三年财务审计报告（2015、2016、2017，成立不足三年的根据实际情况提供）；</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4.6拟派的项目负责人及主要管理人员近三个月（自投标截止时间前推3个月）的社保明细（社保局盖章）。</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4.7投标人在参加投标活动前三年内，在经营活动中没有重大违法记录的书面声明；全国建筑市场监管公共服务平台诚信信息中查询的不良行为记录截图及信用中国查询截图。</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4.8不拖欠农民工工资承诺书</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4.9投标人认为需要提交的其他材料（如有）</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注：以上材料中谈判文件规定需在开标会上提供原件的，除在响应文件中提供相关材料复印件以外，还需在开标会上提供原件。</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5.技术文件格式（封面格式自拟）</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5.1技术文件目录</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（1）机构设置及主要人员情况介绍（格式自拟）；</w:t>
      </w:r>
    </w:p>
    <w:p>
      <w:pPr>
        <w:numPr>
          <w:ilvl w:val="0"/>
          <w:numId w:val="0"/>
        </w:numPr>
        <w:autoSpaceDE/>
        <w:autoSpaceDN/>
        <w:snapToGrid w:val="0"/>
        <w:spacing w:before="0" w:after="0" w:line="360" w:lineRule="auto"/>
        <w:ind w:right="0" w:firstLine="0"/>
        <w:jc w:val="both"/>
        <w:rPr>
          <w:rFonts w:hint="default" w:ascii="宋体" w:hAnsi="宋体" w:eastAsia="宋体"/>
          <w:color w:val="auto"/>
          <w:position w:val="0"/>
          <w:sz w:val="24"/>
          <w:szCs w:val="24"/>
        </w:rPr>
      </w:pPr>
      <w:r>
        <w:rPr>
          <w:rFonts w:hint="default" w:ascii="宋体" w:hAnsi="宋体" w:eastAsia="宋体"/>
          <w:color w:val="auto"/>
          <w:position w:val="0"/>
          <w:sz w:val="24"/>
          <w:szCs w:val="24"/>
        </w:rPr>
        <w:t xml:space="preserve">（2）施工组织设计或施工方案（格式自拟）； </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（3）投标人需要说明的其他文件和说明（如有）。</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5.2施工组织设计或施工方案（格式自拟）。应当包括：总体布置及工期安排、工期保证措施、质量目标、安全施工措施、环境保护措施、文明施工等内容。</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r>
        <w:rPr>
          <w:rFonts w:hint="default" w:ascii="宋体" w:hAnsi="宋体" w:eastAsia="宋体"/>
          <w:color w:val="auto"/>
          <w:position w:val="0"/>
          <w:sz w:val="24"/>
          <w:szCs w:val="24"/>
        </w:rPr>
        <w:t>5.3投标人需要说明的其他文件和说明。</w:t>
      </w: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p>
      <w:pPr>
        <w:numPr>
          <w:ilvl w:val="0"/>
          <w:numId w:val="0"/>
        </w:numPr>
        <w:autoSpaceDE/>
        <w:autoSpaceDN/>
        <w:snapToGrid w:val="0"/>
        <w:spacing w:before="0" w:after="0" w:line="360" w:lineRule="auto"/>
        <w:ind w:right="0" w:firstLine="0"/>
        <w:jc w:val="left"/>
        <w:rPr>
          <w:rFonts w:hint="default" w:ascii="宋体" w:hAnsi="宋体" w:eastAsia="宋体"/>
          <w:color w:val="auto"/>
          <w:position w:val="0"/>
          <w:sz w:val="24"/>
          <w:szCs w:val="24"/>
        </w:rPr>
      </w:pPr>
    </w:p>
    <w:sectPr>
      <w:footerReference r:id="rId5" w:type="default"/>
      <w:type w:val="continuous"/>
      <w:pgSz w:w="11906" w:h="16838"/>
      <w:pgMar w:top="1440" w:right="1800" w:bottom="1440" w:left="1800" w:header="708" w:footer="708" w:gutter="0"/>
      <w:pgNumType w:fmt="decimal"/>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2FF" w:usb1="400004FF"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ngsana New">
    <w:panose1 w:val="02020603050405020304"/>
    <w:charset w:val="00"/>
    <w:family w:val="auto"/>
    <w:pitch w:val="default"/>
    <w:sig w:usb0="81000003" w:usb1="00000000" w:usb2="00000000" w:usb3="00000000" w:csb0="00010001" w:csb1="00000000"/>
  </w:font>
  <w:font w:name="MingLiU">
    <w:panose1 w:val="02020509000000000000"/>
    <w:charset w:val="88"/>
    <w:family w:val="auto"/>
    <w:pitch w:val="default"/>
    <w:sig w:usb0="A00002FF" w:usb1="28CFFCFA" w:usb2="00000016" w:usb3="00000000" w:csb0="00100001" w:csb1="00000000"/>
  </w:font>
  <w:font w:name="华文中宋">
    <w:altName w:val="宋体"/>
    <w:panose1 w:val="020F0502020204030204"/>
    <w:charset w:val="00"/>
    <w:family w:val="auto"/>
    <w:pitch w:val="default"/>
    <w:sig w:usb0="00000000" w:usb1="00000000" w:usb2="00000000" w:usb3="00000000" w:csb0="FFFFFF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F0502020204030204"/>
    <w:charset w:val="00"/>
    <w:family w:val="auto"/>
    <w:pitch w:val="default"/>
    <w:sig w:usb0="00000000" w:usb1="00000000" w:usb2="00000000" w:usb3="00000000" w:csb0="FFFFFFF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18"/>
        <w:szCs w:val="18"/>
      </w:rPr>
    </w:pPr>
    <w:r>
      <w:rPr>
        <w:sz w:val="20"/>
      </w:rPr>
      <mc:AlternateContent>
        <mc:Choice Requires="wps">
          <w:drawing>
            <wp:anchor distT="0" distB="0" distL="114300" distR="114300" simplePos="0" relativeHeight="251625472" behindDoc="0" locked="0" layoutInCell="1" allowOverlap="1">
              <wp:simplePos x="0" y="0"/>
              <wp:positionH relativeFrom="margin">
                <wp:align>center</wp:align>
              </wp:positionH>
              <wp:positionV relativeFrom="paragraph">
                <wp:posOffset>0</wp:posOffset>
              </wp:positionV>
              <wp:extent cx="1828800" cy="2641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264160"/>
                      </a:xfrm>
                      <a:prstGeom prst="rect">
                        <a:avLst/>
                      </a:prstGeom>
                      <a:noFill/>
                      <a:ln w="9525">
                        <a:noFill/>
                      </a:ln>
                    </wps:spPr>
                    <wps:txbx>
                      <w:txbxContent>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18"/>
                              <w:szCs w:val="18"/>
                            </w:rPr>
                          </w:pPr>
                          <w:r>
                            <w:rPr>
                              <w:rFonts w:hint="default" w:ascii="Tahoma" w:hAnsi="Tahoma" w:eastAsia="Tahoma"/>
                              <w:color w:val="auto"/>
                              <w:position w:val="0"/>
                              <w:sz w:val="22"/>
                              <w:szCs w:val="22"/>
                            </w:rPr>
                            <w:fldChar w:fldCharType="begin"/>
                          </w:r>
                          <w:r>
                            <w:instrText xml:space="preserve">PAGE  \* MERGEFORMAT</w:instrText>
                          </w:r>
                          <w:r>
                            <w:fldChar w:fldCharType="separate"/>
                          </w:r>
                          <w:r>
                            <w:rPr>
                              <w:rFonts w:hint="default" w:ascii="Tahoma" w:hAnsi="Tahoma" w:eastAsia="Tahoma"/>
                              <w:color w:val="auto"/>
                              <w:position w:val="0"/>
                              <w:sz w:val="18"/>
                              <w:szCs w:val="18"/>
                            </w:rPr>
                            <w:t>1</w:t>
                          </w:r>
                          <w:r>
                            <w:rPr>
                              <w:rFonts w:hint="default" w:ascii="Tahoma" w:hAnsi="Tahoma" w:eastAsia="Tahoma"/>
                              <w:color w:val="auto"/>
                              <w:position w:val="0"/>
                              <w:sz w:val="18"/>
                              <w:szCs w:val="18"/>
                            </w:rPr>
                            <w:fldChar w:fldCharType="end"/>
                          </w:r>
                        </w:p>
                      </w:txbxContent>
                    </wps:txbx>
                    <wps:bodyPr lIns="0" tIns="0" rIns="0" bIns="0" upright="1">
                      <a:spAutoFit/>
                    </wps:bodyPr>
                  </wps:wsp>
                </a:graphicData>
              </a:graphic>
            </wp:anchor>
          </w:drawing>
        </mc:Choice>
        <mc:Fallback>
          <w:pict>
            <v:shape id="文本框 1" o:spid="_x0000_s1026" o:spt="202" type="#_x0000_t202" style="position:absolute;left:0pt;margin-top:0pt;height:20.8pt;width:144pt;mso-position-horizontal:center;mso-position-horizontal-relative:margin;z-index:251625472;mso-width-relative:page;mso-height-relative:page;" filled="f" stroked="f" coordsize="21600,21600" o:gfxdata="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osB8LNIA&#10;AAAEAQAADwAAAAAAAAABACAAAAAiAAAAZHJzL2Rvd25yZXYueG1sUEsBAhQAFAAAAAgAh07iQDvr&#10;Ji+zAQAARwMAAA4AAAAAAAAAAQAgAAAAIQEAAGRycy9lMm9Eb2MueG1sUEsFBgAAAAAGAAYAWQEA&#10;AEYFAAAAAA==&#10;">
              <v:fill on="f" focussize="0,0"/>
              <v:stroke on="f"/>
              <v:imagedata o:title=""/>
              <o:lock v:ext="edit" aspectratio="f"/>
              <v:textbox inset="0mm,0mm,0mm,0mm" style="mso-fit-shape-to-text:t;">
                <w:txbxContent>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18"/>
                        <w:szCs w:val="18"/>
                      </w:rPr>
                    </w:pPr>
                    <w:r>
                      <w:rPr>
                        <w:rFonts w:hint="default" w:ascii="Tahoma" w:hAnsi="Tahoma" w:eastAsia="Tahoma"/>
                        <w:color w:val="auto"/>
                        <w:position w:val="0"/>
                        <w:sz w:val="22"/>
                        <w:szCs w:val="22"/>
                      </w:rPr>
                      <w:fldChar w:fldCharType="begin"/>
                    </w:r>
                    <w:r>
                      <w:instrText xml:space="preserve">PAGE  \* MERGEFORMAT</w:instrText>
                    </w:r>
                    <w:r>
                      <w:fldChar w:fldCharType="separate"/>
                    </w:r>
                    <w:r>
                      <w:rPr>
                        <w:rFonts w:hint="default" w:ascii="Tahoma" w:hAnsi="Tahoma" w:eastAsia="Tahoma"/>
                        <w:color w:val="auto"/>
                        <w:position w:val="0"/>
                        <w:sz w:val="18"/>
                        <w:szCs w:val="18"/>
                      </w:rPr>
                      <w:t>1</w:t>
                    </w:r>
                    <w:r>
                      <w:rPr>
                        <w:rFonts w:hint="default" w:ascii="Tahoma" w:hAnsi="Tahoma" w:eastAsia="Tahoma"/>
                        <w:color w:val="auto"/>
                        <w:position w:val="0"/>
                        <w:sz w:val="18"/>
                        <w:szCs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18"/>
        <w:szCs w:val="18"/>
      </w:rPr>
    </w:pPr>
    <w:r>
      <w:rPr>
        <w:sz w:val="20"/>
      </w:rPr>
      <mc:AlternateContent>
        <mc:Choice Requires="wps">
          <w:drawing>
            <wp:anchor distT="0" distB="0" distL="114300" distR="114300" simplePos="0" relativeHeight="251625472" behindDoc="0" locked="0" layoutInCell="1" allowOverlap="1">
              <wp:simplePos x="0" y="0"/>
              <wp:positionH relativeFrom="margin">
                <wp:align>center</wp:align>
              </wp:positionH>
              <wp:positionV relativeFrom="paragraph">
                <wp:posOffset>0</wp:posOffset>
              </wp:positionV>
              <wp:extent cx="133350" cy="28702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33350" cy="287020"/>
                      </a:xfrm>
                      <a:prstGeom prst="rect">
                        <a:avLst/>
                      </a:prstGeom>
                      <a:noFill/>
                      <a:ln w="9525">
                        <a:noFill/>
                      </a:ln>
                    </wps:spPr>
                    <wps:txbx>
                      <w:txbxContent>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18"/>
                              <w:szCs w:val="18"/>
                            </w:rPr>
                          </w:pPr>
                          <w:r>
                            <w:rPr>
                              <w:rFonts w:hint="default" w:ascii="Tahoma" w:hAnsi="Tahoma" w:eastAsia="Tahoma"/>
                              <w:color w:val="auto"/>
                              <w:position w:val="0"/>
                              <w:sz w:val="22"/>
                              <w:szCs w:val="22"/>
                            </w:rPr>
                            <w:fldChar w:fldCharType="begin"/>
                          </w:r>
                          <w:r>
                            <w:instrText xml:space="preserve">PAGE  \* MERGEFORMAT</w:instrText>
                          </w:r>
                          <w:r>
                            <w:fldChar w:fldCharType="separate"/>
                          </w:r>
                          <w:r>
                            <w:rPr>
                              <w:rFonts w:hint="default" w:ascii="Tahoma" w:hAnsi="Tahoma" w:eastAsia="Tahoma"/>
                              <w:color w:val="auto"/>
                              <w:position w:val="0"/>
                              <w:sz w:val="21"/>
                              <w:szCs w:val="21"/>
                            </w:rPr>
                            <w:t>23</w:t>
                          </w:r>
                          <w:r>
                            <w:rPr>
                              <w:rFonts w:hint="default" w:ascii="Tahoma" w:hAnsi="Tahoma" w:eastAsia="Tahoma"/>
                              <w:color w:val="auto"/>
                              <w:position w:val="0"/>
                              <w:sz w:val="18"/>
                              <w:szCs w:val="18"/>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2.6pt;width:10.5pt;mso-position-horizontal:center;mso-position-horizontal-relative:margin;z-index:251625472;mso-width-relative:page;mso-height-relative:page;" filled="f" stroked="f" coordsize="21600,21600" o:gfxdata="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TH6sh0QAA&#10;AAMBAAAPAAAAAAAAAAEAIAAAACIAAABkcnMvZG93bnJldi54bWxQSwECFAAUAAAACACHTuJASQuE&#10;frMBAABGAwAADgAAAAAAAAABACAAAAAgAQAAZHJzL2Uyb0RvYy54bWxQSwUGAAAAAAYABgBZAQAA&#10;RQUAAAAA&#10;">
              <v:fill on="f" focussize="0,0"/>
              <v:stroke on="f"/>
              <v:imagedata o:title=""/>
              <o:lock v:ext="edit" aspectratio="f"/>
              <v:textbox inset="0mm,0mm,0mm,0mm" style="mso-fit-shape-to-text:t;">
                <w:txbxContent>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18"/>
                        <w:szCs w:val="18"/>
                      </w:rPr>
                    </w:pPr>
                    <w:r>
                      <w:rPr>
                        <w:rFonts w:hint="default" w:ascii="Tahoma" w:hAnsi="Tahoma" w:eastAsia="Tahoma"/>
                        <w:color w:val="auto"/>
                        <w:position w:val="0"/>
                        <w:sz w:val="22"/>
                        <w:szCs w:val="22"/>
                      </w:rPr>
                      <w:fldChar w:fldCharType="begin"/>
                    </w:r>
                    <w:r>
                      <w:instrText xml:space="preserve">PAGE  \* MERGEFORMAT</w:instrText>
                    </w:r>
                    <w:r>
                      <w:fldChar w:fldCharType="separate"/>
                    </w:r>
                    <w:r>
                      <w:rPr>
                        <w:rFonts w:hint="default" w:ascii="Tahoma" w:hAnsi="Tahoma" w:eastAsia="Tahoma"/>
                        <w:color w:val="auto"/>
                        <w:position w:val="0"/>
                        <w:sz w:val="21"/>
                        <w:szCs w:val="21"/>
                      </w:rPr>
                      <w:t>23</w:t>
                    </w:r>
                    <w:r>
                      <w:rPr>
                        <w:rFonts w:hint="default" w:ascii="Tahoma" w:hAnsi="Tahoma" w:eastAsia="Tahoma"/>
                        <w:color w:val="auto"/>
                        <w:position w:val="0"/>
                        <w:sz w:val="18"/>
                        <w:szCs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numPr>
        <w:ilvl w:val="0"/>
        <w:numId w:val="0"/>
      </w:numPr>
      <w:autoSpaceDE/>
      <w:autoSpaceDN/>
      <w:snapToGrid w:val="0"/>
      <w:spacing w:before="0" w:after="200" w:line="240" w:lineRule="auto"/>
      <w:ind w:right="0" w:firstLine="0"/>
      <w:jc w:val="center"/>
      <w:rPr>
        <w:rFonts w:hint="default" w:ascii="Tahoma" w:hAnsi="Tahoma" w:eastAsia="Tahoma"/>
        <w:color w:val="auto"/>
        <w:position w:val="0"/>
        <w:sz w:val="18"/>
        <w:szCs w:val="18"/>
      </w:rPr>
    </w:pPr>
    <w:r>
      <w:rPr>
        <w:sz w:val="20"/>
      </w:rPr>
      <mc:AlternateContent>
        <mc:Choice Requires="wps">
          <w:drawing>
            <wp:anchor distT="0" distB="0" distL="114300" distR="114300" simplePos="0" relativeHeight="251625472" behindDoc="0" locked="0" layoutInCell="1" allowOverlap="1">
              <wp:simplePos x="0" y="0"/>
              <wp:positionH relativeFrom="margin">
                <wp:align>center</wp:align>
              </wp:positionH>
              <wp:positionV relativeFrom="paragraph">
                <wp:posOffset>0</wp:posOffset>
              </wp:positionV>
              <wp:extent cx="1828800" cy="57531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575310"/>
                      </a:xfrm>
                      <a:prstGeom prst="rect">
                        <a:avLst/>
                      </a:prstGeom>
                      <a:noFill/>
                      <a:ln w="9525">
                        <a:noFill/>
                      </a:ln>
                    </wps:spPr>
                    <wps:txbx>
                      <w:txbxContent>
                        <w:p>
                          <w:pPr>
                            <w:pStyle w:val="17"/>
                            <w:numPr>
                              <w:ilvl w:val="0"/>
                              <w:numId w:val="0"/>
                            </w:numPr>
                            <w:autoSpaceDE/>
                            <w:autoSpaceDN/>
                            <w:snapToGrid w:val="0"/>
                            <w:spacing w:before="0" w:after="200" w:line="240" w:lineRule="auto"/>
                            <w:ind w:right="0" w:firstLine="0"/>
                            <w:jc w:val="center"/>
                            <w:rPr>
                              <w:rFonts w:hint="default" w:ascii="Tahoma" w:hAnsi="Tahoma" w:eastAsia="Tahoma"/>
                              <w:color w:val="auto"/>
                              <w:position w:val="0"/>
                              <w:sz w:val="18"/>
                              <w:szCs w:val="18"/>
                            </w:rPr>
                          </w:pPr>
                          <w:r>
                            <w:rPr>
                              <w:rFonts w:hint="default" w:ascii="Tahoma" w:hAnsi="Tahoma" w:eastAsia="Tahoma"/>
                              <w:color w:val="auto"/>
                              <w:position w:val="0"/>
                              <w:sz w:val="18"/>
                              <w:szCs w:val="18"/>
                            </w:rPr>
                            <w:fldChar w:fldCharType="begin"/>
                          </w:r>
                          <w:r>
                            <w:instrText xml:space="preserve">PAGE  \* MERGEFORMAT</w:instrText>
                          </w:r>
                          <w:r>
                            <w:fldChar w:fldCharType="separate"/>
                          </w:r>
                          <w:r>
                            <w:rPr>
                              <w:rFonts w:hint="default" w:ascii="楷体" w:hAnsi="楷体" w:eastAsia="楷体"/>
                              <w:color w:val="auto"/>
                              <w:position w:val="0"/>
                              <w:sz w:val="21"/>
                              <w:szCs w:val="21"/>
                            </w:rPr>
                            <w:t>23</w:t>
                          </w:r>
                          <w:r>
                            <w:rPr>
                              <w:rFonts w:hint="default" w:ascii="楷体" w:hAnsi="楷体" w:eastAsia="楷体"/>
                              <w:color w:val="auto"/>
                              <w:position w:val="0"/>
                              <w:sz w:val="21"/>
                              <w:szCs w:val="21"/>
                            </w:rPr>
                            <w:fldChar w:fldCharType="end"/>
                          </w:r>
                          <w:r>
                            <w:rPr>
                              <w:rFonts w:hint="default" w:ascii="楷体" w:hAnsi="楷体" w:eastAsia="楷体"/>
                              <w:color w:val="auto"/>
                              <w:position w:val="0"/>
                              <w:sz w:val="21"/>
                              <w:szCs w:val="21"/>
                            </w:rPr>
                            <w:t xml:space="preserve">  </w:t>
                          </w: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txbxContent>
                    </wps:txbx>
                    <wps:bodyPr lIns="0" tIns="0" rIns="0" bIns="0" upright="1">
                      <a:spAutoFit/>
                    </wps:bodyPr>
                  </wps:wsp>
                </a:graphicData>
              </a:graphic>
            </wp:anchor>
          </w:drawing>
        </mc:Choice>
        <mc:Fallback>
          <w:pict>
            <v:shape id="文本框 3" o:spid="_x0000_s1026" o:spt="202" type="#_x0000_t202" style="position:absolute;left:0pt;margin-top:0pt;height:45.3pt;width:144pt;mso-position-horizontal:center;mso-position-horizontal-relative:margin;z-index:251625472;mso-width-relative:page;mso-height-relative:page;" filled="f" stroked="f" coordsize="21600,21600" o:gfxdata="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t3XK4dEA&#10;AAAEAQAADwAAAAAAAAABACAAAAAiAAAAZHJzL2Rvd25yZXYueG1sUEsBAhQAFAAAAAgAh07iQKBA&#10;3ha0AQAARwMAAA4AAAAAAAAAAQAgAAAAIAEAAGRycy9lMm9Eb2MueG1sUEsFBgAAAAAGAAYAWQEA&#10;AEYFAAAAAA==&#10;">
              <v:fill on="f" focussize="0,0"/>
              <v:stroke on="f"/>
              <v:imagedata o:title=""/>
              <o:lock v:ext="edit" aspectratio="f"/>
              <v:textbox inset="0mm,0mm,0mm,0mm" style="mso-fit-shape-to-text:t;">
                <w:txbxContent>
                  <w:p>
                    <w:pPr>
                      <w:pStyle w:val="17"/>
                      <w:numPr>
                        <w:ilvl w:val="0"/>
                        <w:numId w:val="0"/>
                      </w:numPr>
                      <w:autoSpaceDE/>
                      <w:autoSpaceDN/>
                      <w:snapToGrid w:val="0"/>
                      <w:spacing w:before="0" w:after="200" w:line="240" w:lineRule="auto"/>
                      <w:ind w:right="0" w:firstLine="0"/>
                      <w:jc w:val="center"/>
                      <w:rPr>
                        <w:rFonts w:hint="default" w:ascii="Tahoma" w:hAnsi="Tahoma" w:eastAsia="Tahoma"/>
                        <w:color w:val="auto"/>
                        <w:position w:val="0"/>
                        <w:sz w:val="18"/>
                        <w:szCs w:val="18"/>
                      </w:rPr>
                    </w:pPr>
                    <w:r>
                      <w:rPr>
                        <w:rFonts w:hint="default" w:ascii="Tahoma" w:hAnsi="Tahoma" w:eastAsia="Tahoma"/>
                        <w:color w:val="auto"/>
                        <w:position w:val="0"/>
                        <w:sz w:val="18"/>
                        <w:szCs w:val="18"/>
                      </w:rPr>
                      <w:fldChar w:fldCharType="begin"/>
                    </w:r>
                    <w:r>
                      <w:instrText xml:space="preserve">PAGE  \* MERGEFORMAT</w:instrText>
                    </w:r>
                    <w:r>
                      <w:fldChar w:fldCharType="separate"/>
                    </w:r>
                    <w:r>
                      <w:rPr>
                        <w:rFonts w:hint="default" w:ascii="楷体" w:hAnsi="楷体" w:eastAsia="楷体"/>
                        <w:color w:val="auto"/>
                        <w:position w:val="0"/>
                        <w:sz w:val="21"/>
                        <w:szCs w:val="21"/>
                      </w:rPr>
                      <w:t>23</w:t>
                    </w:r>
                    <w:r>
                      <w:rPr>
                        <w:rFonts w:hint="default" w:ascii="楷体" w:hAnsi="楷体" w:eastAsia="楷体"/>
                        <w:color w:val="auto"/>
                        <w:position w:val="0"/>
                        <w:sz w:val="21"/>
                        <w:szCs w:val="21"/>
                      </w:rPr>
                      <w:fldChar w:fldCharType="end"/>
                    </w:r>
                    <w:r>
                      <w:rPr>
                        <w:rFonts w:hint="default" w:ascii="楷体" w:hAnsi="楷体" w:eastAsia="楷体"/>
                        <w:color w:val="auto"/>
                        <w:position w:val="0"/>
                        <w:sz w:val="21"/>
                        <w:szCs w:val="21"/>
                      </w:rPr>
                      <w:t xml:space="preserve">  </w:t>
                    </w:r>
                  </w:p>
                  <w:p>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txbxContent>
              </v:textbox>
            </v:shape>
          </w:pict>
        </mc:Fallback>
      </mc:AlternateContent>
    </w:r>
  </w:p>
  <w:p>
    <w:pPr>
      <w:pStyle w:val="17"/>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displayHorizontalDrawingGridEvery w:val="0"/>
  <w:displayVerticalDrawingGridEvery w:val="2"/>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D36E96"/>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iPriority="8" w:name="heading 2"/>
    <w:lsdException w:qFormat="1" w:unhideWhenUsed="0" w:uiPriority="9" w:semiHidden="0" w:name="heading 3"/>
    <w:lsdException w:qFormat="1" w:unhideWhenUsed="0" w:uiPriority="10" w:semiHidden="0" w:name="heading 4"/>
    <w:lsdException w:qFormat="1" w:uiPriority="11"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28" w:semiHidden="0" w:name="toc 1"/>
    <w:lsdException w:qFormat="1" w:uiPriority="29" w:semiHidden="0" w:name="toc 2"/>
    <w:lsdException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153" w:semiHidden="0" w:name="header"/>
    <w:lsdException w:qFormat="1" w:uiPriority="152"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154"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qFormat="1" w:uiPriority="164" w:name="Document Map"/>
    <w:lsdException w:unhideWhenUsed="0" w:uiPriority="0" w:semiHidden="0" w:name="Plain Text"/>
    <w:lsdException w:unhideWhenUsed="0" w:uiPriority="0" w:semiHidden="0" w:name="E-mail Signature"/>
    <w:lsdException w:qFormat="1" w:unhideWhenUsed="0" w:uiPriority="16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3"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151" w:semiHidden="0" w:name="Balloon Text"/>
    <w:lsdException w:qFormat="1" w:unhideWhenUsed="0" w:uiPriority="37"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pPr>
    <w:rPr>
      <w:rFonts w:ascii="Tahoma" w:hAnsi="Tahoma" w:eastAsia="Tahoma"/>
      <w:w w:val="100"/>
      <w:sz w:val="22"/>
      <w:szCs w:val="22"/>
      <w:shd w:val="clear"/>
    </w:rPr>
  </w:style>
  <w:style w:type="paragraph" w:styleId="2">
    <w:name w:val="heading 1"/>
    <w:basedOn w:val="1"/>
    <w:next w:val="1"/>
    <w:link w:val="47"/>
    <w:qFormat/>
    <w:uiPriority w:val="7"/>
    <w:pPr>
      <w:keepNext/>
      <w:keepLines/>
      <w:widowControl/>
      <w:wordWrap/>
      <w:autoSpaceDE/>
      <w:autoSpaceDN/>
      <w:jc w:val="both"/>
    </w:pPr>
    <w:rPr>
      <w:rFonts w:ascii="Times New Roman" w:hAnsi="Times New Roman" w:eastAsia="Times New Roman"/>
      <w:b/>
      <w:w w:val="100"/>
      <w:sz w:val="44"/>
      <w:szCs w:val="44"/>
      <w:shd w:val="clear"/>
    </w:rPr>
  </w:style>
  <w:style w:type="paragraph" w:styleId="3">
    <w:name w:val="heading 2"/>
    <w:basedOn w:val="1"/>
    <w:next w:val="1"/>
    <w:link w:val="51"/>
    <w:semiHidden/>
    <w:unhideWhenUsed/>
    <w:qFormat/>
    <w:uiPriority w:val="8"/>
    <w:pPr>
      <w:keepNext/>
      <w:keepLines/>
      <w:widowControl/>
      <w:wordWrap/>
      <w:autoSpaceDE/>
      <w:autoSpaceDN/>
    </w:pPr>
    <w:rPr>
      <w:rFonts w:ascii="Cambria" w:hAnsi="Cambria" w:eastAsia="宋体"/>
      <w:b/>
      <w:w w:val="100"/>
      <w:sz w:val="32"/>
      <w:szCs w:val="32"/>
      <w:shd w:val="clear"/>
    </w:rPr>
  </w:style>
  <w:style w:type="paragraph" w:styleId="4">
    <w:name w:val="heading 3"/>
    <w:basedOn w:val="1"/>
    <w:next w:val="1"/>
    <w:link w:val="48"/>
    <w:qFormat/>
    <w:uiPriority w:val="9"/>
    <w:pPr>
      <w:keepNext/>
      <w:keepLines/>
      <w:widowControl/>
      <w:wordWrap/>
      <w:autoSpaceDE/>
      <w:autoSpaceDN/>
      <w:jc w:val="both"/>
    </w:pPr>
    <w:rPr>
      <w:rFonts w:ascii="Times New Roman" w:hAnsi="Times New Roman" w:eastAsia="Times New Roman"/>
      <w:b/>
      <w:w w:val="100"/>
      <w:sz w:val="32"/>
      <w:szCs w:val="32"/>
      <w:shd w:val="clear"/>
    </w:rPr>
  </w:style>
  <w:style w:type="paragraph" w:styleId="5">
    <w:name w:val="heading 4"/>
    <w:basedOn w:val="1"/>
    <w:next w:val="1"/>
    <w:link w:val="49"/>
    <w:qFormat/>
    <w:uiPriority w:val="10"/>
    <w:pPr>
      <w:keepNext/>
      <w:keepLines/>
      <w:widowControl/>
      <w:wordWrap/>
      <w:autoSpaceDE/>
      <w:autoSpaceDN/>
      <w:jc w:val="both"/>
    </w:pPr>
    <w:rPr>
      <w:rFonts w:ascii="Arial" w:hAnsi="Arial" w:eastAsia="Times New Roman"/>
      <w:b/>
      <w:w w:val="100"/>
      <w:sz w:val="28"/>
      <w:szCs w:val="28"/>
      <w:shd w:val="clear"/>
    </w:rPr>
  </w:style>
  <w:style w:type="paragraph" w:styleId="6">
    <w:name w:val="heading 5"/>
    <w:basedOn w:val="1"/>
    <w:next w:val="1"/>
    <w:link w:val="50"/>
    <w:semiHidden/>
    <w:unhideWhenUsed/>
    <w:qFormat/>
    <w:uiPriority w:val="11"/>
    <w:pPr>
      <w:keepNext/>
      <w:keepLines/>
      <w:widowControl/>
      <w:wordWrap/>
      <w:autoSpaceDE/>
      <w:autoSpaceDN/>
    </w:pPr>
    <w:rPr>
      <w:b/>
      <w:w w:val="100"/>
      <w:sz w:val="28"/>
      <w:szCs w:val="28"/>
      <w:shd w:val="clear"/>
    </w:rPr>
  </w:style>
  <w:style w:type="paragraph" w:styleId="7">
    <w:name w:val="heading 6"/>
    <w:next w:val="1"/>
    <w:qFormat/>
    <w:uiPriority w:val="12"/>
    <w:pPr>
      <w:widowControl/>
      <w:wordWrap/>
      <w:autoSpaceDE/>
      <w:autoSpaceDN/>
      <w:ind w:left="1600" w:hanging="400"/>
      <w:jc w:val="both"/>
    </w:pPr>
    <w:rPr>
      <w:rFonts w:ascii="Calibri" w:hAnsi="Calibri" w:eastAsia="微软雅黑"/>
      <w:b/>
      <w:w w:val="100"/>
      <w:sz w:val="21"/>
      <w:szCs w:val="21"/>
      <w:shd w:val="clear"/>
    </w:rPr>
  </w:style>
  <w:style w:type="paragraph" w:styleId="8">
    <w:name w:val="heading 7"/>
    <w:next w:val="1"/>
    <w:qFormat/>
    <w:uiPriority w:val="13"/>
    <w:pPr>
      <w:widowControl/>
      <w:wordWrap/>
      <w:autoSpaceDE/>
      <w:autoSpaceDN/>
      <w:ind w:left="1800" w:hanging="400"/>
      <w:jc w:val="both"/>
    </w:pPr>
    <w:rPr>
      <w:rFonts w:ascii="Calibri" w:hAnsi="Calibri" w:eastAsia="微软雅黑"/>
      <w:w w:val="100"/>
      <w:sz w:val="21"/>
      <w:szCs w:val="21"/>
      <w:shd w:val="clear"/>
    </w:rPr>
  </w:style>
  <w:style w:type="paragraph" w:styleId="9">
    <w:name w:val="heading 8"/>
    <w:next w:val="1"/>
    <w:qFormat/>
    <w:uiPriority w:val="14"/>
    <w:pPr>
      <w:widowControl/>
      <w:wordWrap/>
      <w:autoSpaceDE/>
      <w:autoSpaceDN/>
      <w:ind w:left="2000" w:hanging="400"/>
      <w:jc w:val="both"/>
    </w:pPr>
    <w:rPr>
      <w:rFonts w:ascii="Calibri" w:hAnsi="Calibri" w:eastAsia="微软雅黑"/>
      <w:w w:val="100"/>
      <w:sz w:val="21"/>
      <w:szCs w:val="21"/>
      <w:shd w:val="clear"/>
    </w:rPr>
  </w:style>
  <w:style w:type="paragraph" w:styleId="10">
    <w:name w:val="heading 9"/>
    <w:next w:val="1"/>
    <w:qFormat/>
    <w:uiPriority w:val="15"/>
    <w:pPr>
      <w:widowControl/>
      <w:wordWrap/>
      <w:autoSpaceDE/>
      <w:autoSpaceDN/>
      <w:ind w:left="2200" w:hanging="400"/>
      <w:jc w:val="both"/>
    </w:pPr>
    <w:rPr>
      <w:rFonts w:ascii="Calibri" w:hAnsi="Calibri" w:eastAsia="微软雅黑"/>
      <w:w w:val="100"/>
      <w:sz w:val="21"/>
      <w:szCs w:val="21"/>
      <w:shd w:val="clear"/>
    </w:rPr>
  </w:style>
  <w:style w:type="character" w:default="1" w:styleId="27">
    <w:name w:val="Default Paragraph Font"/>
    <w:semiHidden/>
    <w:unhideWhenUsed/>
    <w:uiPriority w:val="2"/>
  </w:style>
  <w:style w:type="table" w:default="1" w:styleId="31">
    <w:name w:val="Normal Table"/>
    <w:semiHidden/>
    <w:unhideWhenUsed/>
    <w:uiPriority w:val="3"/>
    <w:tblPr>
      <w:tblLayout w:type="fixed"/>
      <w:tblCellMar>
        <w:top w:w="0" w:type="dxa"/>
        <w:left w:w="108" w:type="dxa"/>
        <w:bottom w:w="0" w:type="dxa"/>
        <w:right w:w="108" w:type="dxa"/>
      </w:tblCellMar>
    </w:tblPr>
  </w:style>
  <w:style w:type="paragraph" w:styleId="11">
    <w:name w:val="toc 7"/>
    <w:next w:val="1"/>
    <w:unhideWhenUsed/>
    <w:qFormat/>
    <w:uiPriority w:val="34"/>
    <w:pPr>
      <w:widowControl/>
      <w:wordWrap/>
      <w:autoSpaceDE/>
      <w:autoSpaceDN/>
      <w:ind w:left="2550" w:firstLine="0"/>
      <w:jc w:val="both"/>
    </w:pPr>
    <w:rPr>
      <w:rFonts w:ascii="Calibri" w:hAnsi="Calibri" w:eastAsia="微软雅黑"/>
      <w:w w:val="100"/>
      <w:sz w:val="21"/>
      <w:szCs w:val="21"/>
      <w:shd w:val="clear"/>
    </w:rPr>
  </w:style>
  <w:style w:type="paragraph" w:styleId="12">
    <w:name w:val="Document Map"/>
    <w:basedOn w:val="1"/>
    <w:link w:val="52"/>
    <w:semiHidden/>
    <w:unhideWhenUsed/>
    <w:qFormat/>
    <w:uiPriority w:val="164"/>
    <w:rPr>
      <w:rFonts w:ascii="宋体" w:hAnsi="宋体" w:eastAsia="宋体"/>
      <w:w w:val="100"/>
      <w:sz w:val="18"/>
      <w:szCs w:val="18"/>
      <w:shd w:val="clear"/>
    </w:rPr>
  </w:style>
  <w:style w:type="paragraph" w:styleId="13">
    <w:name w:val="toc 5"/>
    <w:next w:val="1"/>
    <w:unhideWhenUsed/>
    <w:qFormat/>
    <w:uiPriority w:val="32"/>
    <w:pPr>
      <w:widowControl/>
      <w:wordWrap/>
      <w:autoSpaceDE/>
      <w:autoSpaceDN/>
      <w:ind w:left="1700" w:firstLine="0"/>
      <w:jc w:val="both"/>
    </w:pPr>
    <w:rPr>
      <w:rFonts w:ascii="Calibri" w:hAnsi="Calibri" w:eastAsia="微软雅黑"/>
      <w:w w:val="100"/>
      <w:sz w:val="21"/>
      <w:szCs w:val="21"/>
      <w:shd w:val="clear"/>
    </w:rPr>
  </w:style>
  <w:style w:type="paragraph" w:styleId="14">
    <w:name w:val="toc 3"/>
    <w:basedOn w:val="1"/>
    <w:next w:val="1"/>
    <w:unhideWhenUsed/>
    <w:uiPriority w:val="30"/>
    <w:pPr>
      <w:widowControl/>
      <w:wordWrap/>
      <w:autoSpaceDE/>
      <w:autoSpaceDN/>
      <w:ind w:left="840" w:firstLine="0"/>
    </w:pPr>
  </w:style>
  <w:style w:type="paragraph" w:styleId="15">
    <w:name w:val="toc 8"/>
    <w:next w:val="1"/>
    <w:unhideWhenUsed/>
    <w:qFormat/>
    <w:uiPriority w:val="35"/>
    <w:pPr>
      <w:widowControl/>
      <w:wordWrap/>
      <w:autoSpaceDE/>
      <w:autoSpaceDN/>
      <w:ind w:left="2975" w:firstLine="0"/>
      <w:jc w:val="both"/>
    </w:pPr>
    <w:rPr>
      <w:rFonts w:ascii="Calibri" w:hAnsi="Calibri" w:eastAsia="微软雅黑"/>
      <w:w w:val="100"/>
      <w:sz w:val="21"/>
      <w:szCs w:val="21"/>
      <w:shd w:val="clear"/>
    </w:rPr>
  </w:style>
  <w:style w:type="paragraph" w:styleId="16">
    <w:name w:val="Balloon Text"/>
    <w:basedOn w:val="1"/>
    <w:link w:val="46"/>
    <w:unhideWhenUsed/>
    <w:uiPriority w:val="151"/>
    <w:pPr>
      <w:widowControl/>
      <w:wordWrap/>
      <w:autoSpaceDE/>
      <w:autoSpaceDN/>
    </w:pPr>
    <w:rPr>
      <w:w w:val="100"/>
      <w:sz w:val="18"/>
      <w:szCs w:val="18"/>
      <w:shd w:val="clear"/>
    </w:rPr>
  </w:style>
  <w:style w:type="paragraph" w:styleId="17">
    <w:name w:val="footer"/>
    <w:basedOn w:val="1"/>
    <w:link w:val="45"/>
    <w:unhideWhenUsed/>
    <w:qFormat/>
    <w:uiPriority w:val="152"/>
    <w:pPr>
      <w:widowControl/>
      <w:tabs>
        <w:tab w:val="center" w:pos="4153"/>
        <w:tab w:val="right" w:pos="8306"/>
      </w:tabs>
      <w:wordWrap/>
      <w:autoSpaceDE/>
      <w:autoSpaceDN/>
    </w:pPr>
    <w:rPr>
      <w:w w:val="100"/>
      <w:sz w:val="18"/>
      <w:szCs w:val="18"/>
      <w:shd w:val="clear"/>
    </w:rPr>
  </w:style>
  <w:style w:type="paragraph" w:styleId="18">
    <w:name w:val="header"/>
    <w:basedOn w:val="1"/>
    <w:link w:val="44"/>
    <w:unhideWhenUsed/>
    <w:qFormat/>
    <w:uiPriority w:val="153"/>
    <w:pPr>
      <w:widowControl/>
      <w:tabs>
        <w:tab w:val="center" w:pos="4153"/>
        <w:tab w:val="right" w:pos="8306"/>
      </w:tabs>
      <w:wordWrap/>
      <w:autoSpaceDE/>
      <w:autoSpaceDN/>
      <w:jc w:val="center"/>
    </w:pPr>
    <w:rPr>
      <w:w w:val="100"/>
      <w:sz w:val="18"/>
      <w:szCs w:val="18"/>
      <w:shd w:val="clear"/>
    </w:rPr>
  </w:style>
  <w:style w:type="paragraph" w:styleId="19">
    <w:name w:val="toc 1"/>
    <w:basedOn w:val="1"/>
    <w:next w:val="1"/>
    <w:unhideWhenUsed/>
    <w:uiPriority w:val="28"/>
  </w:style>
  <w:style w:type="paragraph" w:styleId="20">
    <w:name w:val="toc 4"/>
    <w:next w:val="1"/>
    <w:unhideWhenUsed/>
    <w:qFormat/>
    <w:uiPriority w:val="31"/>
    <w:pPr>
      <w:widowControl/>
      <w:wordWrap/>
      <w:autoSpaceDE/>
      <w:autoSpaceDN/>
      <w:ind w:left="1275" w:firstLine="0"/>
      <w:jc w:val="both"/>
    </w:pPr>
    <w:rPr>
      <w:rFonts w:ascii="Calibri" w:hAnsi="Calibri" w:eastAsia="微软雅黑"/>
      <w:w w:val="100"/>
      <w:sz w:val="21"/>
      <w:szCs w:val="21"/>
      <w:shd w:val="clear"/>
    </w:rPr>
  </w:style>
  <w:style w:type="paragraph" w:styleId="21">
    <w:name w:val="Subtitle"/>
    <w:qFormat/>
    <w:uiPriority w:val="16"/>
    <w:pPr>
      <w:widowControl/>
      <w:wordWrap/>
      <w:autoSpaceDE/>
      <w:autoSpaceDN/>
      <w:jc w:val="center"/>
    </w:pPr>
    <w:rPr>
      <w:rFonts w:ascii="Calibri" w:hAnsi="Calibri" w:eastAsia="微软雅黑"/>
      <w:w w:val="100"/>
      <w:sz w:val="24"/>
      <w:szCs w:val="24"/>
      <w:shd w:val="clear"/>
    </w:rPr>
  </w:style>
  <w:style w:type="paragraph" w:styleId="22">
    <w:name w:val="toc 6"/>
    <w:next w:val="1"/>
    <w:unhideWhenUsed/>
    <w:qFormat/>
    <w:uiPriority w:val="33"/>
    <w:pPr>
      <w:widowControl/>
      <w:wordWrap/>
      <w:autoSpaceDE/>
      <w:autoSpaceDN/>
      <w:ind w:left="2125" w:firstLine="0"/>
      <w:jc w:val="both"/>
    </w:pPr>
    <w:rPr>
      <w:rFonts w:ascii="Calibri" w:hAnsi="Calibri" w:eastAsia="微软雅黑"/>
      <w:w w:val="100"/>
      <w:sz w:val="21"/>
      <w:szCs w:val="21"/>
      <w:shd w:val="clear"/>
    </w:rPr>
  </w:style>
  <w:style w:type="paragraph" w:styleId="23">
    <w:name w:val="toc 2"/>
    <w:basedOn w:val="1"/>
    <w:next w:val="1"/>
    <w:unhideWhenUsed/>
    <w:qFormat/>
    <w:uiPriority w:val="29"/>
    <w:pPr>
      <w:widowControl/>
      <w:wordWrap/>
      <w:autoSpaceDE/>
      <w:autoSpaceDN/>
      <w:ind w:left="420" w:firstLine="0"/>
    </w:pPr>
  </w:style>
  <w:style w:type="paragraph" w:styleId="24">
    <w:name w:val="toc 9"/>
    <w:next w:val="1"/>
    <w:unhideWhenUsed/>
    <w:qFormat/>
    <w:uiPriority w:val="36"/>
    <w:pPr>
      <w:widowControl/>
      <w:wordWrap/>
      <w:autoSpaceDE/>
      <w:autoSpaceDN/>
      <w:ind w:left="3400" w:firstLine="0"/>
      <w:jc w:val="both"/>
    </w:pPr>
    <w:rPr>
      <w:rFonts w:ascii="Calibri" w:hAnsi="Calibri" w:eastAsia="微软雅黑"/>
      <w:w w:val="100"/>
      <w:sz w:val="21"/>
      <w:szCs w:val="21"/>
      <w:shd w:val="clear"/>
    </w:rPr>
  </w:style>
  <w:style w:type="paragraph" w:styleId="25">
    <w:name w:val="Normal (Web)"/>
    <w:basedOn w:val="1"/>
    <w:link w:val="53"/>
    <w:qFormat/>
    <w:uiPriority w:val="167"/>
    <w:pPr>
      <w:widowControl/>
      <w:wordWrap/>
      <w:autoSpaceDE/>
      <w:autoSpaceDN/>
    </w:pPr>
    <w:rPr>
      <w:rFonts w:ascii="宋体" w:hAnsi="宋体" w:eastAsia="宋体"/>
      <w:w w:val="100"/>
      <w:sz w:val="24"/>
      <w:szCs w:val="24"/>
      <w:shd w:val="clear"/>
    </w:rPr>
  </w:style>
  <w:style w:type="paragraph" w:styleId="26">
    <w:name w:val="Title"/>
    <w:qFormat/>
    <w:uiPriority w:val="6"/>
    <w:pPr>
      <w:widowControl/>
      <w:wordWrap/>
      <w:autoSpaceDE/>
      <w:autoSpaceDN/>
      <w:jc w:val="center"/>
    </w:pPr>
    <w:rPr>
      <w:rFonts w:ascii="Calibri" w:hAnsi="Calibri" w:eastAsia="微软雅黑"/>
      <w:b/>
      <w:w w:val="100"/>
      <w:sz w:val="32"/>
      <w:szCs w:val="32"/>
      <w:shd w:val="clear"/>
    </w:rPr>
  </w:style>
  <w:style w:type="character" w:styleId="28">
    <w:name w:val="Strong"/>
    <w:qFormat/>
    <w:uiPriority w:val="20"/>
    <w:rPr>
      <w:b/>
      <w:w w:val="100"/>
      <w:sz w:val="21"/>
      <w:szCs w:val="21"/>
      <w:shd w:val="clear"/>
    </w:rPr>
  </w:style>
  <w:style w:type="character" w:styleId="29">
    <w:name w:val="Emphasis"/>
    <w:qFormat/>
    <w:uiPriority w:val="18"/>
    <w:rPr>
      <w:i/>
      <w:w w:val="100"/>
      <w:sz w:val="21"/>
      <w:szCs w:val="21"/>
      <w:shd w:val="clear"/>
    </w:rPr>
  </w:style>
  <w:style w:type="character" w:styleId="30">
    <w:name w:val="Hyperlink"/>
    <w:basedOn w:val="27"/>
    <w:unhideWhenUsed/>
    <w:qFormat/>
    <w:uiPriority w:val="154"/>
    <w:rPr>
      <w:color w:val="0000FF" w:themeColor="hyperlink"/>
      <w:w w:val="100"/>
      <w:sz w:val="20"/>
      <w:szCs w:val="20"/>
      <w:u w:val="single"/>
      <w:shd w:val="clear"/>
    </w:rPr>
  </w:style>
  <w:style w:type="table" w:styleId="32">
    <w:name w:val="Table Grid"/>
    <w:basedOn w:val="31"/>
    <w:qFormat/>
    <w:uiPriority w:val="37"/>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styleId="33">
    <w:name w:val="No Spacing"/>
    <w:qFormat/>
    <w:uiPriority w:val="5"/>
    <w:pPr>
      <w:widowControl/>
      <w:wordWrap/>
      <w:autoSpaceDE/>
      <w:autoSpaceDN/>
      <w:jc w:val="both"/>
    </w:pPr>
    <w:rPr>
      <w:rFonts w:ascii="Calibri" w:hAnsi="Calibri" w:eastAsia="微软雅黑"/>
      <w:w w:val="100"/>
      <w:sz w:val="21"/>
      <w:szCs w:val="21"/>
      <w:shd w:val="clear"/>
    </w:rPr>
  </w:style>
  <w:style w:type="character" w:customStyle="1" w:styleId="34">
    <w:name w:val="Subtle Emphasis"/>
    <w:qFormat/>
    <w:uiPriority w:val="17"/>
    <w:rPr>
      <w:i/>
      <w:color w:val="404040"/>
      <w:w w:val="100"/>
      <w:sz w:val="21"/>
      <w:szCs w:val="21"/>
      <w:shd w:val="clear"/>
    </w:rPr>
  </w:style>
  <w:style w:type="character" w:customStyle="1" w:styleId="35">
    <w:name w:val="Intense Emphasis"/>
    <w:qFormat/>
    <w:uiPriority w:val="19"/>
    <w:rPr>
      <w:i/>
      <w:color w:val="5B9BD5"/>
      <w:w w:val="100"/>
      <w:sz w:val="21"/>
      <w:szCs w:val="21"/>
      <w:shd w:val="clear"/>
    </w:rPr>
  </w:style>
  <w:style w:type="paragraph" w:styleId="36">
    <w:name w:val="Quote"/>
    <w:qFormat/>
    <w:uiPriority w:val="21"/>
    <w:pPr>
      <w:widowControl/>
      <w:wordWrap/>
      <w:autoSpaceDE/>
      <w:autoSpaceDN/>
      <w:ind w:left="864" w:right="864" w:firstLine="0"/>
      <w:jc w:val="center"/>
    </w:pPr>
    <w:rPr>
      <w:rFonts w:ascii="Calibri" w:hAnsi="Calibri" w:eastAsia="微软雅黑"/>
      <w:i/>
      <w:color w:val="404040"/>
      <w:w w:val="100"/>
      <w:sz w:val="21"/>
      <w:szCs w:val="21"/>
      <w:shd w:val="clear"/>
    </w:rPr>
  </w:style>
  <w:style w:type="paragraph" w:styleId="37">
    <w:name w:val="Intense Quote"/>
    <w:qFormat/>
    <w:uiPriority w:val="22"/>
    <w:pPr>
      <w:widowControl/>
      <w:wordWrap/>
      <w:autoSpaceDE/>
      <w:autoSpaceDN/>
      <w:ind w:left="950" w:right="950" w:firstLine="0"/>
      <w:jc w:val="center"/>
    </w:pPr>
    <w:rPr>
      <w:rFonts w:ascii="Calibri" w:hAnsi="Calibri" w:eastAsia="微软雅黑"/>
      <w:i/>
      <w:color w:val="5B9BD5"/>
      <w:w w:val="100"/>
      <w:sz w:val="21"/>
      <w:szCs w:val="21"/>
      <w:shd w:val="clear"/>
    </w:rPr>
  </w:style>
  <w:style w:type="character" w:customStyle="1" w:styleId="38">
    <w:name w:val="Subtle Reference"/>
    <w:qFormat/>
    <w:uiPriority w:val="23"/>
    <w:rPr>
      <w:smallCaps/>
      <w:color w:val="5A5A5A"/>
      <w:w w:val="100"/>
      <w:sz w:val="21"/>
      <w:szCs w:val="21"/>
      <w:shd w:val="clear"/>
    </w:rPr>
  </w:style>
  <w:style w:type="character" w:customStyle="1" w:styleId="39">
    <w:name w:val="Intense Reference"/>
    <w:qFormat/>
    <w:uiPriority w:val="24"/>
    <w:rPr>
      <w:b/>
      <w:smallCaps/>
      <w:color w:val="5B9BD5"/>
      <w:w w:val="100"/>
      <w:sz w:val="21"/>
      <w:szCs w:val="21"/>
      <w:shd w:val="clear"/>
    </w:rPr>
  </w:style>
  <w:style w:type="character" w:customStyle="1" w:styleId="40">
    <w:name w:val="Book Title"/>
    <w:qFormat/>
    <w:uiPriority w:val="25"/>
    <w:rPr>
      <w:b/>
      <w:i/>
      <w:w w:val="100"/>
      <w:sz w:val="21"/>
      <w:szCs w:val="21"/>
      <w:shd w:val="clear"/>
    </w:rPr>
  </w:style>
  <w:style w:type="paragraph" w:styleId="41">
    <w:name w:val="List Paragraph"/>
    <w:basedOn w:val="1"/>
    <w:unhideWhenUsed/>
    <w:uiPriority w:val="26"/>
    <w:pPr>
      <w:widowControl/>
      <w:wordWrap/>
      <w:autoSpaceDE/>
      <w:autoSpaceDN/>
      <w:ind w:firstLine="420"/>
    </w:pPr>
  </w:style>
  <w:style w:type="paragraph" w:customStyle="1" w:styleId="42">
    <w:name w:val="TOC Heading"/>
    <w:basedOn w:val="2"/>
    <w:next w:val="1"/>
    <w:semiHidden/>
    <w:unhideWhenUsed/>
    <w:qFormat/>
    <w:uiPriority w:val="27"/>
    <w:pPr>
      <w:widowControl/>
      <w:wordWrap/>
      <w:autoSpaceDE/>
      <w:autoSpaceDN/>
    </w:pPr>
    <w:rPr>
      <w:rFonts w:ascii="Cambria" w:hAnsi="Cambria" w:eastAsia="宋体"/>
      <w:color w:val="366091" w:themeColor="accent1" w:themeShade="BF"/>
      <w:w w:val="100"/>
      <w:sz w:val="28"/>
      <w:szCs w:val="28"/>
      <w:shd w:val="clear"/>
    </w:rPr>
  </w:style>
  <w:style w:type="paragraph" w:customStyle="1" w:styleId="43">
    <w:name w:val="列出段落1"/>
    <w:basedOn w:val="1"/>
    <w:qFormat/>
    <w:uiPriority w:val="155"/>
    <w:pPr>
      <w:widowControl/>
      <w:wordWrap/>
      <w:autoSpaceDE/>
      <w:autoSpaceDN/>
      <w:ind w:firstLine="420"/>
    </w:pPr>
  </w:style>
  <w:style w:type="character" w:customStyle="1" w:styleId="44">
    <w:name w:val="页眉 Char"/>
    <w:basedOn w:val="27"/>
    <w:link w:val="18"/>
    <w:semiHidden/>
    <w:qFormat/>
    <w:uiPriority w:val="156"/>
    <w:rPr>
      <w:rFonts w:ascii="Tahoma" w:hAnsi="Tahoma" w:eastAsia="Tahoma"/>
      <w:w w:val="100"/>
      <w:sz w:val="18"/>
      <w:szCs w:val="18"/>
      <w:shd w:val="clear"/>
    </w:rPr>
  </w:style>
  <w:style w:type="character" w:customStyle="1" w:styleId="45">
    <w:name w:val="页脚 Char"/>
    <w:basedOn w:val="27"/>
    <w:link w:val="17"/>
    <w:qFormat/>
    <w:uiPriority w:val="157"/>
    <w:rPr>
      <w:rFonts w:ascii="Tahoma" w:hAnsi="Tahoma" w:eastAsia="Tahoma"/>
      <w:w w:val="100"/>
      <w:sz w:val="18"/>
      <w:szCs w:val="18"/>
      <w:shd w:val="clear"/>
    </w:rPr>
  </w:style>
  <w:style w:type="character" w:customStyle="1" w:styleId="46">
    <w:name w:val="批注框文本 Char"/>
    <w:basedOn w:val="27"/>
    <w:link w:val="16"/>
    <w:semiHidden/>
    <w:qFormat/>
    <w:uiPriority w:val="158"/>
    <w:rPr>
      <w:rFonts w:ascii="Tahoma" w:hAnsi="Tahoma" w:eastAsia="Tahoma"/>
      <w:w w:val="100"/>
      <w:sz w:val="18"/>
      <w:szCs w:val="18"/>
      <w:shd w:val="clear"/>
    </w:rPr>
  </w:style>
  <w:style w:type="character" w:customStyle="1" w:styleId="47">
    <w:name w:val="标题 1 Char"/>
    <w:basedOn w:val="27"/>
    <w:link w:val="2"/>
    <w:qFormat/>
    <w:uiPriority w:val="159"/>
    <w:rPr>
      <w:rFonts w:ascii="Times New Roman" w:hAnsi="Times New Roman" w:eastAsia="Times New Roman"/>
      <w:b/>
      <w:w w:val="100"/>
      <w:sz w:val="44"/>
      <w:szCs w:val="44"/>
      <w:shd w:val="clear"/>
    </w:rPr>
  </w:style>
  <w:style w:type="character" w:customStyle="1" w:styleId="48">
    <w:name w:val="标题 3 Char"/>
    <w:basedOn w:val="27"/>
    <w:link w:val="4"/>
    <w:qFormat/>
    <w:uiPriority w:val="160"/>
    <w:rPr>
      <w:rFonts w:ascii="Times New Roman" w:hAnsi="Times New Roman" w:eastAsia="Times New Roman"/>
      <w:b/>
      <w:w w:val="100"/>
      <w:sz w:val="32"/>
      <w:szCs w:val="32"/>
      <w:shd w:val="clear"/>
    </w:rPr>
  </w:style>
  <w:style w:type="character" w:customStyle="1" w:styleId="49">
    <w:name w:val="标题 4 Char"/>
    <w:basedOn w:val="27"/>
    <w:link w:val="5"/>
    <w:qFormat/>
    <w:uiPriority w:val="161"/>
    <w:rPr>
      <w:rFonts w:ascii="Arial" w:hAnsi="Arial" w:eastAsia="Times New Roman"/>
      <w:b/>
      <w:w w:val="100"/>
      <w:sz w:val="28"/>
      <w:szCs w:val="28"/>
      <w:shd w:val="clear"/>
    </w:rPr>
  </w:style>
  <w:style w:type="character" w:customStyle="1" w:styleId="50">
    <w:name w:val="标题 5 Char"/>
    <w:basedOn w:val="27"/>
    <w:link w:val="6"/>
    <w:semiHidden/>
    <w:qFormat/>
    <w:uiPriority w:val="162"/>
    <w:rPr>
      <w:rFonts w:ascii="Tahoma" w:hAnsi="Tahoma" w:eastAsia="Tahoma"/>
      <w:b/>
      <w:w w:val="100"/>
      <w:sz w:val="28"/>
      <w:szCs w:val="28"/>
      <w:shd w:val="clear"/>
    </w:rPr>
  </w:style>
  <w:style w:type="character" w:customStyle="1" w:styleId="51">
    <w:name w:val="标题 2 Char"/>
    <w:basedOn w:val="27"/>
    <w:link w:val="3"/>
    <w:semiHidden/>
    <w:qFormat/>
    <w:uiPriority w:val="163"/>
    <w:rPr>
      <w:rFonts w:ascii="Cambria" w:hAnsi="Cambria" w:eastAsia="宋体"/>
      <w:b/>
      <w:w w:val="100"/>
      <w:sz w:val="32"/>
      <w:szCs w:val="32"/>
      <w:shd w:val="clear"/>
    </w:rPr>
  </w:style>
  <w:style w:type="character" w:customStyle="1" w:styleId="52">
    <w:name w:val="文档结构图 Char"/>
    <w:basedOn w:val="27"/>
    <w:link w:val="12"/>
    <w:semiHidden/>
    <w:qFormat/>
    <w:uiPriority w:val="165"/>
    <w:rPr>
      <w:rFonts w:ascii="宋体" w:hAnsi="宋体" w:eastAsia="宋体"/>
      <w:w w:val="100"/>
      <w:sz w:val="18"/>
      <w:szCs w:val="18"/>
      <w:shd w:val="clear"/>
    </w:rPr>
  </w:style>
  <w:style w:type="character" w:customStyle="1" w:styleId="53">
    <w:name w:val="普通(网站) Char"/>
    <w:link w:val="25"/>
    <w:qFormat/>
    <w:uiPriority w:val="166"/>
    <w:rPr>
      <w:rFonts w:ascii="宋体" w:hAnsi="宋体" w:eastAsia="宋体"/>
      <w:w w:val="100"/>
      <w:sz w:val="24"/>
      <w:szCs w:val="24"/>
      <w:shd w:val="clear"/>
    </w:rPr>
  </w:style>
  <w:style w:type="paragraph" w:customStyle="1" w:styleId="54">
    <w:name w:val="Char Char1"/>
    <w:basedOn w:val="2"/>
    <w:qFormat/>
    <w:uiPriority w:val="168"/>
    <w:pPr>
      <w:widowControl/>
      <w:tabs>
        <w:tab w:val="left" w:pos="432"/>
      </w:tabs>
      <w:wordWrap/>
      <w:autoSpaceDE/>
      <w:autoSpaceDN/>
      <w:textAlignment w:val="baseline"/>
    </w:pPr>
    <w:rPr>
      <w:rFonts w:ascii="黑体" w:hAnsi="黑体" w:eastAsia="黑体"/>
      <w:w w:val="100"/>
      <w:sz w:val="32"/>
      <w:szCs w:val="32"/>
      <w:shd w:val="clear"/>
    </w:rPr>
  </w:style>
  <w:style w:type="paragraph" w:customStyle="1" w:styleId="55">
    <w:name w:val="p0"/>
    <w:basedOn w:val="1"/>
    <w:qFormat/>
    <w:uiPriority w:val="169"/>
    <w:pPr>
      <w:widowControl/>
      <w:wordWrap/>
      <w:autoSpaceDE/>
      <w:autoSpaceDN/>
      <w:jc w:val="both"/>
    </w:pPr>
    <w:rPr>
      <w:rFonts w:ascii="Times New Roman" w:hAnsi="Times New Roman" w:eastAsia="Times New Roman"/>
      <w:w w:val="100"/>
      <w:sz w:val="21"/>
      <w:szCs w:val="21"/>
      <w:shd w:val="cle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74</Pages>
  <Words>5164</Words>
  <Characters>0</Characters>
  <Lines>245</Lines>
  <Paragraphs>69</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2018-06-21T08:47:34Z</dcterms:created>
  <dc:creator>Administrator</dc:creator>
  <cp:lastModifiedBy>Administrator</cp:lastModifiedBy>
  <dcterms:modified xsi:type="dcterms:W3CDTF">2018-06-21T08:50:56Z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