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pPr>
    </w:p>
    <w:p>
      <w:pPr>
        <w:spacing w:line="220" w:lineRule="atLeast"/>
        <w:jc w:val="center"/>
        <w:rPr>
          <w:rFonts w:ascii="宋体" w:hAnsi="宋体" w:eastAsia="宋体"/>
          <w:b/>
          <w:sz w:val="36"/>
          <w:szCs w:val="36"/>
        </w:rPr>
      </w:pPr>
      <w:r>
        <w:rPr>
          <w:rFonts w:hint="eastAsia" w:ascii="宋体" w:hAnsi="宋体" w:eastAsia="宋体"/>
          <w:b/>
          <w:sz w:val="36"/>
          <w:szCs w:val="36"/>
        </w:rPr>
        <w:t>清江红花峡客运索道工程技术指导服务项目</w:t>
      </w: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52"/>
          <w:szCs w:val="52"/>
        </w:rPr>
      </w:pPr>
      <w:r>
        <w:rPr>
          <w:rFonts w:hint="eastAsia" w:ascii="宋体" w:hAnsi="宋体" w:eastAsia="宋体"/>
          <w:b/>
          <w:sz w:val="52"/>
          <w:szCs w:val="52"/>
        </w:rPr>
        <w:t>竞争性磋商文件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ind w:firstLine="1405" w:firstLineChars="500"/>
        <w:rPr>
          <w:rFonts w:ascii="宋体" w:hAnsi="宋体" w:eastAsia="宋体"/>
          <w:b/>
          <w:sz w:val="28"/>
          <w:szCs w:val="28"/>
        </w:rPr>
      </w:pPr>
      <w:r>
        <w:rPr>
          <w:rFonts w:hint="eastAsia" w:ascii="宋体" w:hAnsi="宋体" w:eastAsia="宋体"/>
          <w:b/>
          <w:sz w:val="28"/>
          <w:szCs w:val="28"/>
        </w:rPr>
        <w:t>招 标 人：</w:t>
      </w:r>
      <w:r>
        <w:rPr>
          <w:rFonts w:hint="eastAsia" w:ascii="宋体" w:hAnsi="宋体" w:eastAsia="宋体"/>
          <w:b/>
          <w:sz w:val="28"/>
          <w:szCs w:val="28"/>
          <w:u w:val="single"/>
        </w:rPr>
        <w:t>恩施大清江国际旅游度假区有限公司</w:t>
      </w:r>
    </w:p>
    <w:p>
      <w:pPr>
        <w:spacing w:line="220" w:lineRule="atLeast"/>
        <w:ind w:firstLine="1405" w:firstLineChars="500"/>
        <w:rPr>
          <w:rFonts w:ascii="宋体" w:hAnsi="宋体" w:eastAsia="宋体"/>
          <w:b/>
          <w:sz w:val="28"/>
          <w:szCs w:val="28"/>
          <w:u w:val="single"/>
        </w:rPr>
      </w:pPr>
      <w:r>
        <w:rPr>
          <w:rFonts w:hint="eastAsia" w:ascii="宋体" w:hAnsi="宋体" w:eastAsia="宋体"/>
          <w:b/>
          <w:sz w:val="28"/>
          <w:szCs w:val="28"/>
        </w:rPr>
        <w:t>招标编号：</w:t>
      </w:r>
      <w:r>
        <w:rPr>
          <w:rFonts w:hint="eastAsia" w:ascii="宋体" w:hAnsi="宋体" w:eastAsia="宋体"/>
          <w:b/>
          <w:sz w:val="28"/>
          <w:szCs w:val="28"/>
          <w:u w:val="single"/>
        </w:rPr>
        <w:t xml:space="preserve">     ELDQJZB-TP20180701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2018年7月</w:t>
      </w:r>
    </w:p>
    <w:p>
      <w:pPr>
        <w:spacing w:line="220" w:lineRule="atLeast"/>
      </w:pPr>
    </w:p>
    <w:p>
      <w:pPr>
        <w:spacing w:line="220" w:lineRule="atLeast"/>
      </w:pPr>
    </w:p>
    <w:sdt>
      <w:sdtPr>
        <w:rPr>
          <w:rFonts w:ascii="Tahoma" w:hAnsi="Tahoma" w:eastAsia="微软雅黑" w:cstheme="minorBidi"/>
          <w:b w:val="0"/>
          <w:bCs w:val="0"/>
          <w:color w:val="auto"/>
          <w:sz w:val="22"/>
          <w:szCs w:val="22"/>
          <w:lang w:val="zh-CN"/>
        </w:rPr>
        <w:id w:val="7095534"/>
      </w:sdtPr>
      <w:sdtEndPr>
        <w:rPr>
          <w:rFonts w:ascii="Tahoma" w:hAnsi="Tahoma" w:eastAsia="微软雅黑" w:cstheme="minorBidi"/>
          <w:b w:val="0"/>
          <w:bCs w:val="0"/>
          <w:color w:val="auto"/>
          <w:sz w:val="22"/>
          <w:szCs w:val="22"/>
          <w:lang w:val="en-US"/>
        </w:rPr>
      </w:sdtEndPr>
      <w:sdtContent>
        <w:p>
          <w:pPr>
            <w:pStyle w:val="59"/>
            <w:jc w:val="center"/>
          </w:pPr>
          <w:r>
            <w:rPr>
              <w:color w:val="auto"/>
              <w:sz w:val="32"/>
              <w:szCs w:val="32"/>
              <w:lang w:val="zh-CN"/>
            </w:rPr>
            <w:t>目录</w:t>
          </w:r>
        </w:p>
        <w:p>
          <w:pPr>
            <w:pStyle w:val="30"/>
            <w:tabs>
              <w:tab w:val="right" w:leader="dot" w:pos="8296"/>
            </w:tabs>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"_Toc518416743" </w:instrText>
          </w:r>
          <w:r>
            <w:fldChar w:fldCharType="separate"/>
          </w:r>
          <w:r>
            <w:rPr>
              <w:rStyle w:val="44"/>
              <w:rFonts w:hint="eastAsia" w:ascii="宋体" w:hAnsi="宋体"/>
            </w:rPr>
            <w:t>第一章竞争性磋商公告</w:t>
          </w:r>
          <w:r>
            <w:tab/>
          </w:r>
          <w:r>
            <w:fldChar w:fldCharType="begin"/>
          </w:r>
          <w:r>
            <w:instrText xml:space="preserve"> PAGEREF _Toc518416743 \h </w:instrText>
          </w:r>
          <w:r>
            <w:fldChar w:fldCharType="separate"/>
          </w:r>
          <w:r>
            <w:t>3</w:t>
          </w:r>
          <w:r>
            <w:fldChar w:fldCharType="end"/>
          </w:r>
          <w:r>
            <w:fldChar w:fldCharType="end"/>
          </w:r>
        </w:p>
        <w:p>
          <w:pPr>
            <w:pStyle w:val="30"/>
            <w:tabs>
              <w:tab w:val="right" w:leader="dot" w:pos="8296"/>
            </w:tabs>
            <w:rPr>
              <w:rFonts w:asciiTheme="minorHAnsi" w:hAnsiTheme="minorHAnsi" w:eastAsiaTheme="minorEastAsia"/>
              <w:kern w:val="2"/>
              <w:sz w:val="21"/>
            </w:rPr>
          </w:pPr>
          <w:r>
            <w:fldChar w:fldCharType="begin"/>
          </w:r>
          <w:r>
            <w:instrText xml:space="preserve"> HYPERLINK \l "_Toc518416744" </w:instrText>
          </w:r>
          <w:r>
            <w:fldChar w:fldCharType="separate"/>
          </w:r>
          <w:r>
            <w:rPr>
              <w:rStyle w:val="44"/>
              <w:rFonts w:hint="eastAsia" w:ascii="宋体" w:hAnsi="宋体"/>
            </w:rPr>
            <w:t>第二章投标人须知</w:t>
          </w:r>
          <w:r>
            <w:tab/>
          </w:r>
          <w:r>
            <w:fldChar w:fldCharType="begin"/>
          </w:r>
          <w:r>
            <w:instrText xml:space="preserve"> PAGEREF _Toc518416744 \h </w:instrText>
          </w:r>
          <w:r>
            <w:fldChar w:fldCharType="separate"/>
          </w:r>
          <w:r>
            <w:t>5</w:t>
          </w:r>
          <w:r>
            <w:fldChar w:fldCharType="end"/>
          </w:r>
          <w:r>
            <w:fldChar w:fldCharType="end"/>
          </w:r>
        </w:p>
        <w:p>
          <w:pPr>
            <w:pStyle w:val="30"/>
            <w:tabs>
              <w:tab w:val="right" w:leader="dot" w:pos="8296"/>
            </w:tabs>
            <w:rPr>
              <w:rFonts w:asciiTheme="minorHAnsi" w:hAnsiTheme="minorHAnsi" w:eastAsiaTheme="minorEastAsia"/>
              <w:kern w:val="2"/>
              <w:sz w:val="21"/>
            </w:rPr>
          </w:pPr>
          <w:r>
            <w:fldChar w:fldCharType="begin"/>
          </w:r>
          <w:r>
            <w:instrText xml:space="preserve"> HYPERLINK \l "_Toc518416745" </w:instrText>
          </w:r>
          <w:r>
            <w:fldChar w:fldCharType="separate"/>
          </w:r>
          <w:r>
            <w:rPr>
              <w:rStyle w:val="44"/>
              <w:rFonts w:hint="eastAsia" w:ascii="宋体" w:hAnsi="宋体" w:cs="MingLiU"/>
            </w:rPr>
            <w:t>第三章评标办法</w:t>
          </w:r>
          <w:r>
            <w:tab/>
          </w:r>
          <w:r>
            <w:fldChar w:fldCharType="begin"/>
          </w:r>
          <w:r>
            <w:instrText xml:space="preserve"> PAGEREF _Toc518416745 \h </w:instrText>
          </w:r>
          <w:r>
            <w:fldChar w:fldCharType="separate"/>
          </w:r>
          <w:r>
            <w:t>14</w:t>
          </w:r>
          <w:r>
            <w:fldChar w:fldCharType="end"/>
          </w:r>
          <w:r>
            <w:fldChar w:fldCharType="end"/>
          </w:r>
        </w:p>
        <w:p>
          <w:pPr>
            <w:pStyle w:val="30"/>
            <w:tabs>
              <w:tab w:val="right" w:leader="dot" w:pos="8296"/>
            </w:tabs>
            <w:rPr>
              <w:rFonts w:asciiTheme="minorHAnsi" w:hAnsiTheme="minorHAnsi" w:eastAsiaTheme="minorEastAsia"/>
              <w:kern w:val="2"/>
              <w:sz w:val="21"/>
            </w:rPr>
          </w:pPr>
          <w:r>
            <w:fldChar w:fldCharType="begin"/>
          </w:r>
          <w:r>
            <w:instrText xml:space="preserve"> HYPERLINK \l "_Toc518416746" </w:instrText>
          </w:r>
          <w:r>
            <w:fldChar w:fldCharType="separate"/>
          </w:r>
          <w:r>
            <w:rPr>
              <w:rStyle w:val="44"/>
              <w:rFonts w:hint="eastAsia" w:ascii="宋体" w:hAnsi="宋体"/>
            </w:rPr>
            <w:t>第四章合同条款及格式</w:t>
          </w:r>
          <w:r>
            <w:tab/>
          </w:r>
          <w:r>
            <w:fldChar w:fldCharType="begin"/>
          </w:r>
          <w:r>
            <w:instrText xml:space="preserve"> PAGEREF _Toc518416746 \h </w:instrText>
          </w:r>
          <w:r>
            <w:fldChar w:fldCharType="separate"/>
          </w:r>
          <w:r>
            <w:t>19</w:t>
          </w:r>
          <w:r>
            <w:fldChar w:fldCharType="end"/>
          </w:r>
          <w:r>
            <w:fldChar w:fldCharType="end"/>
          </w:r>
        </w:p>
        <w:p>
          <w:pPr>
            <w:pStyle w:val="30"/>
            <w:tabs>
              <w:tab w:val="right" w:leader="dot" w:pos="8296"/>
            </w:tabs>
            <w:rPr>
              <w:rFonts w:asciiTheme="minorHAnsi" w:hAnsiTheme="minorHAnsi" w:eastAsiaTheme="minorEastAsia"/>
              <w:kern w:val="2"/>
              <w:sz w:val="21"/>
            </w:rPr>
          </w:pPr>
          <w:r>
            <w:fldChar w:fldCharType="begin"/>
          </w:r>
          <w:r>
            <w:instrText xml:space="preserve"> HYPERLINK \l "_Toc518416747" </w:instrText>
          </w:r>
          <w:r>
            <w:fldChar w:fldCharType="separate"/>
          </w:r>
          <w:r>
            <w:rPr>
              <w:rStyle w:val="44"/>
              <w:rFonts w:hint="eastAsia" w:ascii="宋体" w:hAnsi="宋体"/>
            </w:rPr>
            <w:t>第五章投标文件格式</w:t>
          </w:r>
          <w:r>
            <w:tab/>
          </w:r>
          <w:r>
            <w:fldChar w:fldCharType="begin"/>
          </w:r>
          <w:r>
            <w:instrText xml:space="preserve"> PAGEREF _Toc518416747 \h </w:instrText>
          </w:r>
          <w:r>
            <w:fldChar w:fldCharType="separate"/>
          </w:r>
          <w:r>
            <w:t>27</w:t>
          </w:r>
          <w:r>
            <w:fldChar w:fldCharType="end"/>
          </w:r>
          <w:r>
            <w:fldChar w:fldCharType="end"/>
          </w:r>
        </w:p>
        <w:p>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headerReference r:id="rId3" w:type="default"/>
          <w:pgSz w:w="11906" w:h="16838"/>
          <w:pgMar w:top="1440" w:right="1800" w:bottom="1440" w:left="1800" w:header="708" w:footer="708" w:gutter="0"/>
          <w:cols w:space="708" w:num="1"/>
          <w:docGrid w:linePitch="360" w:charSpace="0"/>
        </w:sectPr>
      </w:pPr>
    </w:p>
    <w:p>
      <w:pPr>
        <w:pStyle w:val="2"/>
        <w:spacing w:before="0" w:after="120"/>
        <w:jc w:val="center"/>
        <w:rPr>
          <w:rFonts w:ascii="宋体" w:hAnsi="宋体"/>
          <w:b w:val="0"/>
          <w:sz w:val="28"/>
          <w:szCs w:val="28"/>
        </w:rPr>
      </w:pPr>
      <w:bookmarkStart w:id="0" w:name="_Toc518416743"/>
      <w:r>
        <w:rPr>
          <w:rFonts w:hint="eastAsia" w:ascii="宋体" w:hAnsi="宋体"/>
          <w:sz w:val="28"/>
          <w:szCs w:val="28"/>
        </w:rPr>
        <w:t>第一章  竞争性磋商公告</w:t>
      </w:r>
      <w:bookmarkEnd w:id="0"/>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恩施大清江国际旅游度假区有限公司</w:t>
      </w:r>
      <w:r>
        <w:rPr>
          <w:rFonts w:hint="eastAsia" w:ascii="仿宋" w:hAnsi="仿宋" w:eastAsia="仿宋" w:cs="Times New Roman"/>
          <w:sz w:val="24"/>
          <w:szCs w:val="24"/>
        </w:rPr>
        <w:t>拟对</w:t>
      </w:r>
      <w:r>
        <w:rPr>
          <w:rFonts w:hint="eastAsia" w:ascii="仿宋" w:hAnsi="仿宋" w:eastAsia="仿宋" w:cs="Times New Roman"/>
          <w:sz w:val="24"/>
          <w:szCs w:val="24"/>
          <w:u w:val="single"/>
        </w:rPr>
        <w:t>清江红花峡客运索道工程</w:t>
      </w:r>
      <w:r>
        <w:rPr>
          <w:rFonts w:hint="eastAsia" w:ascii="仿宋" w:hAnsi="仿宋" w:eastAsia="仿宋" w:cs="Times New Roman"/>
          <w:sz w:val="24"/>
          <w:szCs w:val="24"/>
        </w:rPr>
        <w:t>技术指导服务单位遴选招标，</w:t>
      </w:r>
      <w:r>
        <w:rPr>
          <w:rFonts w:hint="eastAsia" w:ascii="仿宋" w:hAnsi="仿宋" w:eastAsia="仿宋"/>
          <w:sz w:val="24"/>
          <w:szCs w:val="24"/>
        </w:rPr>
        <w:t>欢迎符合条件的潜在投标人前来投标。</w:t>
      </w:r>
    </w:p>
    <w:p>
      <w:pPr>
        <w:spacing w:after="0" w:line="360" w:lineRule="auto"/>
        <w:jc w:val="both"/>
        <w:rPr>
          <w:rFonts w:ascii="仿宋" w:hAnsi="仿宋" w:eastAsia="仿宋"/>
          <w:sz w:val="24"/>
          <w:szCs w:val="24"/>
        </w:rPr>
      </w:pPr>
      <w:r>
        <w:rPr>
          <w:rFonts w:hint="eastAsia" w:ascii="仿宋" w:hAnsi="仿宋" w:eastAsia="仿宋"/>
          <w:b/>
          <w:sz w:val="24"/>
          <w:szCs w:val="24"/>
        </w:rPr>
        <w:t xml:space="preserve">     1、项目名称：</w:t>
      </w:r>
      <w:r>
        <w:rPr>
          <w:rFonts w:hint="eastAsia" w:ascii="仿宋" w:hAnsi="仿宋" w:eastAsia="仿宋" w:cs="Times New Roman"/>
          <w:sz w:val="24"/>
          <w:szCs w:val="24"/>
        </w:rPr>
        <w:t>清江红花峡客运索道工程技术指导服务项目</w:t>
      </w:r>
      <w:r>
        <w:rPr>
          <w:rFonts w:hint="eastAsia" w:ascii="仿宋" w:hAnsi="仿宋" w:eastAsia="仿宋"/>
          <w:sz w:val="24"/>
          <w:szCs w:val="24"/>
        </w:rPr>
        <w:t>。</w:t>
      </w:r>
    </w:p>
    <w:p>
      <w:pPr>
        <w:overflowPunct w:val="0"/>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2、项目概况与招标范围</w:t>
      </w:r>
    </w:p>
    <w:p>
      <w:pPr>
        <w:overflowPunct w:val="0"/>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2.1</w:t>
      </w:r>
      <w:r>
        <w:rPr>
          <w:rFonts w:hint="eastAsia" w:ascii="仿宋" w:hAnsi="仿宋" w:eastAsia="仿宋" w:cs="Times New Roman"/>
          <w:sz w:val="24"/>
          <w:szCs w:val="24"/>
        </w:rPr>
        <w:t>湖北省恩施州恩施市清江红花峡客运，景区</w:t>
      </w:r>
      <w:r>
        <w:rPr>
          <w:rFonts w:hint="eastAsia" w:ascii="仿宋" w:hAnsi="仿宋" w:eastAsia="仿宋" w:cs="Times New Roman"/>
          <w:sz w:val="24"/>
          <w:szCs w:val="24"/>
          <w:lang w:eastAsia="zh-CN"/>
        </w:rPr>
        <w:t>具有独有的峰林景观，植被覆盖率高，地势崎岖，绝壁飞瀑，</w:t>
      </w:r>
      <w:r>
        <w:rPr>
          <w:rFonts w:hint="eastAsia" w:ascii="仿宋" w:hAnsi="仿宋" w:eastAsia="仿宋" w:cs="Times New Roman"/>
          <w:sz w:val="24"/>
          <w:szCs w:val="24"/>
        </w:rPr>
        <w:t>奇石遍步。现拟在景区内新建约1.2公里长客运索道。（以实际选线为准）</w:t>
      </w:r>
    </w:p>
    <w:p>
      <w:pPr>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2.2建设地点：</w:t>
      </w:r>
      <w:r>
        <w:rPr>
          <w:rFonts w:hint="eastAsia" w:ascii="仿宋" w:hAnsi="仿宋" w:eastAsia="仿宋" w:cs="Times New Roman"/>
          <w:sz w:val="24"/>
          <w:szCs w:val="24"/>
        </w:rPr>
        <w:t>湖北省恩施州恩施市沙地乡、新塘乡</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2.3服务期限：从初步设计阶段至竣工验收合格之日止。</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2.4项目预算：90.00万元</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2.5招标范围及要求</w:t>
      </w:r>
      <w:r>
        <w:rPr>
          <w:rFonts w:hint="eastAsia" w:ascii="仿宋" w:hAnsi="仿宋" w:eastAsia="仿宋"/>
          <w:color w:val="0000FF"/>
          <w:sz w:val="24"/>
          <w:szCs w:val="24"/>
        </w:rPr>
        <w:t>：</w:t>
      </w:r>
      <w:r>
        <w:rPr>
          <w:rFonts w:hint="eastAsia" w:ascii="仿宋" w:hAnsi="仿宋" w:eastAsia="仿宋"/>
          <w:sz w:val="24"/>
          <w:szCs w:val="24"/>
        </w:rPr>
        <w:t>选定索道线路、初步方案设计、在设备招标、安装施工阶段及调试竣工阶段提供技术指导服务，协助招标人顺利完成索道工程建设工作。</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3、投标人资格条件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3.1符合《政府采购法》第二十二条规定的投标人资格条件（</w:t>
      </w:r>
      <w:r>
        <w:rPr>
          <w:rFonts w:ascii="仿宋" w:hAnsi="仿宋" w:eastAsia="仿宋"/>
          <w:sz w:val="24"/>
          <w:szCs w:val="24"/>
        </w:rPr>
        <w:t>具有独立承担民事责任的能力</w:t>
      </w:r>
      <w:r>
        <w:rPr>
          <w:rFonts w:hint="eastAsia" w:ascii="仿宋" w:hAnsi="仿宋" w:eastAsia="仿宋"/>
          <w:sz w:val="24"/>
          <w:szCs w:val="24"/>
        </w:rPr>
        <w:t>；</w:t>
      </w:r>
      <w:r>
        <w:rPr>
          <w:rFonts w:ascii="仿宋" w:hAnsi="仿宋" w:eastAsia="仿宋"/>
          <w:sz w:val="24"/>
          <w:szCs w:val="24"/>
        </w:rPr>
        <w:t>具有良好的商业信誉和健全的</w:t>
      </w:r>
      <w:r>
        <w:rPr>
          <w:rFonts w:hint="eastAsia" w:ascii="仿宋" w:hAnsi="仿宋" w:eastAsia="仿宋"/>
          <w:sz w:val="24"/>
          <w:szCs w:val="24"/>
        </w:rPr>
        <w:t>财务会计制度；</w:t>
      </w:r>
      <w:r>
        <w:rPr>
          <w:rFonts w:ascii="仿宋" w:hAnsi="仿宋" w:eastAsia="仿宋"/>
          <w:sz w:val="24"/>
          <w:szCs w:val="24"/>
        </w:rPr>
        <w:t>具有履行合同所必需的设备和专业技术能力</w:t>
      </w:r>
      <w:r>
        <w:rPr>
          <w:rFonts w:hint="eastAsia" w:ascii="仿宋" w:hAnsi="仿宋" w:eastAsia="仿宋"/>
          <w:sz w:val="24"/>
          <w:szCs w:val="24"/>
        </w:rPr>
        <w:t>；</w:t>
      </w:r>
      <w:r>
        <w:rPr>
          <w:rFonts w:ascii="仿宋" w:hAnsi="仿宋" w:eastAsia="仿宋"/>
          <w:sz w:val="24"/>
          <w:szCs w:val="24"/>
        </w:rPr>
        <w:t>有依法缴纳税收和</w:t>
      </w:r>
      <w:r>
        <w:rPr>
          <w:rFonts w:hint="eastAsia" w:ascii="仿宋" w:hAnsi="仿宋" w:eastAsia="仿宋"/>
          <w:sz w:val="24"/>
          <w:szCs w:val="24"/>
        </w:rPr>
        <w:t>社会保障资金</w:t>
      </w:r>
      <w:r>
        <w:rPr>
          <w:rFonts w:ascii="仿宋" w:hAnsi="仿宋" w:eastAsia="仿宋"/>
          <w:sz w:val="24"/>
          <w:szCs w:val="24"/>
        </w:rPr>
        <w:t>的良好记录</w:t>
      </w:r>
      <w:r>
        <w:rPr>
          <w:rFonts w:hint="eastAsia" w:ascii="仿宋" w:hAnsi="仿宋" w:eastAsia="仿宋"/>
          <w:sz w:val="24"/>
          <w:szCs w:val="24"/>
        </w:rPr>
        <w:t>；</w:t>
      </w:r>
      <w:r>
        <w:rPr>
          <w:rFonts w:ascii="仿宋" w:hAnsi="仿宋" w:eastAsia="仿宋"/>
          <w:sz w:val="24"/>
          <w:szCs w:val="24"/>
        </w:rPr>
        <w:t>参加</w:t>
      </w:r>
      <w:r>
        <w:rPr>
          <w:rFonts w:hint="eastAsia" w:ascii="仿宋" w:hAnsi="仿宋" w:eastAsia="仿宋"/>
          <w:sz w:val="24"/>
          <w:szCs w:val="24"/>
        </w:rPr>
        <w:t>投标</w:t>
      </w:r>
      <w:r>
        <w:rPr>
          <w:rFonts w:ascii="仿宋" w:hAnsi="仿宋" w:eastAsia="仿宋"/>
          <w:sz w:val="24"/>
          <w:szCs w:val="24"/>
        </w:rPr>
        <w:t>活动前三年内，在经营活动中没有重大违法记录</w:t>
      </w:r>
      <w:r>
        <w:rPr>
          <w:rFonts w:hint="eastAsia" w:ascii="仿宋" w:hAnsi="仿宋" w:eastAsia="仿宋"/>
          <w:sz w:val="24"/>
          <w:szCs w:val="24"/>
        </w:rPr>
        <w:t xml:space="preserve">；法律、行政法规规定的其他条件）； </w:t>
      </w:r>
    </w:p>
    <w:p>
      <w:pPr>
        <w:adjustRightInd/>
        <w:snapToGrid/>
        <w:spacing w:after="0" w:line="360" w:lineRule="auto"/>
        <w:ind w:firstLine="600" w:firstLineChars="250"/>
        <w:rPr>
          <w:rFonts w:ascii="仿宋" w:hAnsi="仿宋" w:eastAsia="仿宋"/>
          <w:sz w:val="24"/>
          <w:szCs w:val="24"/>
        </w:rPr>
      </w:pPr>
      <w:r>
        <w:rPr>
          <w:rFonts w:hint="eastAsia" w:ascii="仿宋" w:hAnsi="仿宋" w:eastAsia="仿宋"/>
          <w:sz w:val="24"/>
          <w:szCs w:val="24"/>
        </w:rPr>
        <w:t>3.2</w:t>
      </w:r>
      <w:r>
        <w:rPr>
          <w:rFonts w:ascii="仿宋" w:hAnsi="仿宋" w:eastAsia="仿宋"/>
          <w:sz w:val="24"/>
          <w:szCs w:val="24"/>
        </w:rPr>
        <w:t>投标人须在中华人民共和国境内注册，具备独立法人资格及有效的企业法人营业执照</w:t>
      </w:r>
      <w:r>
        <w:rPr>
          <w:rFonts w:hint="eastAsia" w:ascii="仿宋" w:hAnsi="仿宋" w:eastAsia="仿宋"/>
          <w:sz w:val="24"/>
          <w:szCs w:val="24"/>
        </w:rPr>
        <w:t>，经营范围包含技术服务、咨询等内容；</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3.3近三年（投标截止日前推36个月）独立承担过至少二项客运索道项目技术指导咨询服务类似业绩；</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3.4拟派的项目负责人及其他技术人员，必须具有客运索道技术指导服务经验；</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投标人及其法定代表人和拟派的项目负责人近三年内无犯罪记录（自法院判决生效之日起至本次招标公告发布之日止三年内，要求在开标时提供《检查机关行贿犯罪档案查询结果告知函》原件，并在投标文件中提供复印件）； </w:t>
      </w:r>
    </w:p>
    <w:p>
      <w:pPr>
        <w:spacing w:after="0" w:line="440" w:lineRule="exact"/>
        <w:ind w:firstLine="600" w:firstLineChars="250"/>
        <w:jc w:val="both"/>
        <w:rPr>
          <w:rFonts w:ascii="仿宋" w:hAnsi="仿宋" w:eastAsia="仿宋"/>
          <w:sz w:val="24"/>
          <w:szCs w:val="24"/>
        </w:rPr>
      </w:pPr>
      <w:r>
        <w:rPr>
          <w:rFonts w:hint="eastAsia" w:ascii="仿宋" w:hAnsi="仿宋" w:eastAsia="仿宋"/>
          <w:sz w:val="24"/>
          <w:szCs w:val="24"/>
        </w:rPr>
        <w:t>3.6</w:t>
      </w:r>
      <w:r>
        <w:rPr>
          <w:rFonts w:hint="eastAsia" w:ascii="仿宋" w:hAnsi="仿宋" w:eastAsia="仿宋"/>
          <w:kern w:val="10"/>
          <w:sz w:val="24"/>
          <w:szCs w:val="24"/>
        </w:rPr>
        <w:t>投标人在参加投标活动前三年内，在经营活动中没有重大违法记录（提供书面声明）；投标人未被列入信用中国网站(www.creditchina.gov.cn)、中国政府采购网(www.ccgp.gov.cn)渠道信用记录失信被执行人、重大税收违法案件当事人名单、政府采购严重违法失信行为记录名单（提供网站查询截图扫描件）；</w:t>
      </w:r>
    </w:p>
    <w:p>
      <w:pPr>
        <w:spacing w:after="0" w:line="440" w:lineRule="exact"/>
        <w:ind w:firstLine="480" w:firstLineChars="200"/>
        <w:rPr>
          <w:rFonts w:ascii="仿宋" w:hAnsi="仿宋" w:eastAsia="仿宋"/>
          <w:kern w:val="10"/>
          <w:sz w:val="24"/>
          <w:szCs w:val="24"/>
        </w:rPr>
      </w:pPr>
      <w:r>
        <w:rPr>
          <w:rFonts w:hint="eastAsia" w:ascii="仿宋" w:hAnsi="仿宋" w:eastAsia="仿宋"/>
          <w:sz w:val="24"/>
          <w:szCs w:val="24"/>
        </w:rPr>
        <w:t xml:space="preserve"> 3.7</w:t>
      </w:r>
      <w:r>
        <w:rPr>
          <w:rFonts w:hint="eastAsia" w:ascii="仿宋" w:hAnsi="仿宋" w:eastAsia="仿宋"/>
          <w:kern w:val="10"/>
          <w:sz w:val="24"/>
          <w:szCs w:val="24"/>
        </w:rPr>
        <w:t>根据《关于落实</w:t>
      </w:r>
      <w:r>
        <w:rPr>
          <w:rFonts w:ascii="仿宋" w:hAnsi="仿宋" w:eastAsia="仿宋"/>
          <w:kern w:val="10"/>
          <w:sz w:val="24"/>
          <w:szCs w:val="24"/>
        </w:rPr>
        <w:t>&lt;</w:t>
      </w:r>
      <w:r>
        <w:rPr>
          <w:rFonts w:hint="eastAsia" w:ascii="仿宋" w:hAnsi="仿宋" w:eastAsia="仿宋"/>
          <w:kern w:val="10"/>
          <w:sz w:val="24"/>
          <w:szCs w:val="24"/>
        </w:rPr>
        <w:t>恩施州建设领域劳动者工资支付保障实施方法</w:t>
      </w:r>
      <w:r>
        <w:rPr>
          <w:rFonts w:ascii="仿宋" w:hAnsi="仿宋" w:eastAsia="仿宋"/>
          <w:kern w:val="10"/>
          <w:sz w:val="24"/>
          <w:szCs w:val="24"/>
        </w:rPr>
        <w:t>&gt;</w:t>
      </w:r>
      <w:r>
        <w:rPr>
          <w:rFonts w:hint="eastAsia" w:ascii="仿宋" w:hAnsi="仿宋" w:eastAsia="仿宋"/>
          <w:kern w:val="10"/>
          <w:sz w:val="24"/>
          <w:szCs w:val="24"/>
        </w:rPr>
        <w:t>相关规定的意见》的补充通知（恩施州人社函</w:t>
      </w:r>
      <w:r>
        <w:rPr>
          <w:rFonts w:ascii="仿宋" w:hAnsi="仿宋" w:eastAsia="仿宋"/>
          <w:kern w:val="10"/>
          <w:sz w:val="24"/>
          <w:szCs w:val="24"/>
        </w:rPr>
        <w:t>[2017]35</w:t>
      </w:r>
      <w:r>
        <w:rPr>
          <w:rFonts w:hint="eastAsia" w:ascii="仿宋" w:hAnsi="仿宋" w:eastAsia="仿宋"/>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 xml:space="preserve">3.8本次招标不接受联合体投标。 </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4、资格审查方式</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本次招标资格审查方式采用资格后审。</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5、招标文件的获取</w:t>
      </w:r>
    </w:p>
    <w:p>
      <w:pPr>
        <w:spacing w:after="0" w:line="440" w:lineRule="exact"/>
        <w:ind w:firstLine="566" w:firstLineChars="236"/>
        <w:jc w:val="both"/>
        <w:rPr>
          <w:rFonts w:ascii="仿宋" w:hAnsi="仿宋" w:eastAsia="仿宋"/>
          <w:color w:val="0000FF"/>
          <w:sz w:val="24"/>
          <w:szCs w:val="24"/>
        </w:rPr>
      </w:pPr>
      <w:r>
        <w:rPr>
          <w:rFonts w:hint="eastAsia" w:ascii="仿宋" w:hAnsi="仿宋" w:eastAsia="仿宋"/>
          <w:sz w:val="24"/>
          <w:szCs w:val="24"/>
        </w:rPr>
        <w:t>5.1凡有意参加投标者，请于2018年7月</w:t>
      </w:r>
      <w:r>
        <w:rPr>
          <w:rFonts w:hint="eastAsia" w:ascii="仿宋" w:hAnsi="仿宋" w:eastAsia="仿宋"/>
          <w:sz w:val="24"/>
          <w:szCs w:val="24"/>
          <w:lang w:val="en-US" w:eastAsia="zh-CN"/>
        </w:rPr>
        <w:t>20</w:t>
      </w:r>
      <w:r>
        <w:rPr>
          <w:rFonts w:hint="eastAsia" w:ascii="仿宋" w:hAnsi="仿宋" w:eastAsia="仿宋"/>
          <w:sz w:val="24"/>
          <w:szCs w:val="24"/>
        </w:rPr>
        <w:t>日至2018年7月2</w:t>
      </w:r>
      <w:r>
        <w:rPr>
          <w:rFonts w:hint="eastAsia" w:ascii="仿宋" w:hAnsi="仿宋" w:eastAsia="仿宋"/>
          <w:sz w:val="24"/>
          <w:szCs w:val="24"/>
          <w:lang w:val="en-US" w:eastAsia="zh-CN"/>
        </w:rPr>
        <w:t>9</w:t>
      </w:r>
      <w:r>
        <w:rPr>
          <w:rFonts w:hint="eastAsia" w:ascii="仿宋" w:hAnsi="仿宋" w:eastAsia="仿宋"/>
          <w:sz w:val="24"/>
          <w:szCs w:val="24"/>
        </w:rPr>
        <w:t>日17时30分，登录玩转恩施网（</w:t>
      </w:r>
      <w:r>
        <w:rPr>
          <w:rFonts w:ascii="仿宋" w:hAnsi="仿宋" w:eastAsia="仿宋"/>
          <w:sz w:val="24"/>
          <w:szCs w:val="24"/>
        </w:rPr>
        <w:t>http://www.1ztour.com/index.html</w:t>
      </w:r>
      <w:r>
        <w:rPr>
          <w:rFonts w:hint="eastAsia" w:ascii="仿宋" w:hAnsi="仿宋" w:eastAsia="仿宋"/>
          <w:sz w:val="24"/>
          <w:szCs w:val="24"/>
        </w:rPr>
        <w:t>）下载《投标单位报名表》登记报名并下载招标文件；</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5.2投标人填写完整《投标单位报名表》并加盖投标人公章后，将报名表扫描件（PDF格式）在报名期限内发于招标人电子邮箱（</w:t>
      </w:r>
      <w:r>
        <w:fldChar w:fldCharType="begin"/>
      </w:r>
      <w:r>
        <w:instrText xml:space="preserve"> HYPERLINK "mailto:1298225726@qq.com" </w:instrText>
      </w:r>
      <w:r>
        <w:fldChar w:fldCharType="separate"/>
      </w:r>
      <w:r>
        <w:rPr>
          <w:rStyle w:val="44"/>
          <w:rFonts w:hint="eastAsia" w:ascii="仿宋" w:hAnsi="仿宋" w:eastAsia="仿宋"/>
          <w:color w:val="auto"/>
          <w:sz w:val="24"/>
          <w:szCs w:val="24"/>
        </w:rPr>
        <w:t>196385190@qq.com</w:t>
      </w:r>
      <w:r>
        <w:rPr>
          <w:rStyle w:val="44"/>
          <w:rFonts w:hint="eastAsia" w:ascii="仿宋" w:hAnsi="仿宋" w:eastAsia="仿宋"/>
          <w:color w:val="auto"/>
          <w:sz w:val="24"/>
          <w:szCs w:val="24"/>
        </w:rPr>
        <w:fldChar w:fldCharType="end"/>
      </w:r>
      <w:r>
        <w:rPr>
          <w:rFonts w:hint="eastAsia" w:ascii="仿宋" w:hAnsi="仿宋" w:eastAsia="仿宋"/>
          <w:sz w:val="24"/>
          <w:szCs w:val="24"/>
        </w:rPr>
        <w:t>）；</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5.3未报名及超出报名期限的投标无效。</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6、投标文件的递交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.1投标文件递交的截止时间</w:t>
      </w:r>
      <w:r>
        <w:rPr>
          <w:rFonts w:hint="eastAsia" w:ascii="仿宋" w:hAnsi="仿宋" w:eastAsia="仿宋"/>
          <w:sz w:val="24"/>
          <w:szCs w:val="24"/>
          <w:lang w:eastAsia="zh-CN"/>
        </w:rPr>
        <w:t>及开标时间</w:t>
      </w:r>
      <w:bookmarkStart w:id="54" w:name="_GoBack"/>
      <w:bookmarkEnd w:id="54"/>
      <w:r>
        <w:rPr>
          <w:rFonts w:ascii="仿宋" w:hAnsi="仿宋" w:eastAsia="仿宋"/>
          <w:sz w:val="24"/>
          <w:szCs w:val="24"/>
        </w:rPr>
        <w:t>为</w:t>
      </w:r>
      <w:r>
        <w:rPr>
          <w:rFonts w:hint="eastAsia" w:ascii="仿宋" w:hAnsi="仿宋" w:eastAsia="仿宋"/>
          <w:sz w:val="24"/>
          <w:szCs w:val="24"/>
        </w:rPr>
        <w:t>2018</w:t>
      </w:r>
      <w:r>
        <w:rPr>
          <w:rFonts w:ascii="仿宋" w:hAnsi="仿宋" w:eastAsia="仿宋"/>
          <w:sz w:val="24"/>
          <w:szCs w:val="24"/>
        </w:rPr>
        <w:t>年</w:t>
      </w:r>
      <w:r>
        <w:rPr>
          <w:rFonts w:hint="eastAsia" w:ascii="仿宋" w:hAnsi="仿宋" w:eastAsia="仿宋"/>
          <w:sz w:val="24"/>
          <w:szCs w:val="24"/>
          <w:lang w:val="en-US" w:eastAsia="zh-CN"/>
        </w:rPr>
        <w:t>8</w:t>
      </w:r>
      <w:r>
        <w:rPr>
          <w:rFonts w:ascii="仿宋" w:hAnsi="仿宋" w:eastAsia="仿宋"/>
          <w:sz w:val="24"/>
          <w:szCs w:val="24"/>
        </w:rPr>
        <w:t>月</w:t>
      </w:r>
      <w:r>
        <w:rPr>
          <w:rFonts w:hint="eastAsia" w:ascii="仿宋" w:hAnsi="仿宋" w:eastAsia="仿宋"/>
          <w:sz w:val="24"/>
          <w:szCs w:val="24"/>
          <w:lang w:val="en-US" w:eastAsia="zh-CN"/>
        </w:rPr>
        <w:t>1</w:t>
      </w:r>
      <w:r>
        <w:rPr>
          <w:rFonts w:ascii="仿宋" w:hAnsi="仿宋" w:eastAsia="仿宋"/>
          <w:sz w:val="24"/>
          <w:szCs w:val="24"/>
        </w:rPr>
        <w:t>日</w:t>
      </w:r>
      <w:r>
        <w:rPr>
          <w:rFonts w:hint="eastAsia" w:ascii="仿宋" w:hAnsi="仿宋" w:eastAsia="仿宋"/>
          <w:sz w:val="24"/>
          <w:szCs w:val="24"/>
          <w:lang w:val="en-US" w:eastAsia="zh-CN"/>
        </w:rPr>
        <w:t>10</w:t>
      </w:r>
      <w:r>
        <w:rPr>
          <w:rFonts w:ascii="仿宋" w:hAnsi="仿宋" w:eastAsia="仿宋"/>
          <w:sz w:val="24"/>
          <w:szCs w:val="24"/>
        </w:rPr>
        <w:t>时</w:t>
      </w:r>
      <w:r>
        <w:rPr>
          <w:rFonts w:hint="eastAsia" w:ascii="仿宋" w:hAnsi="仿宋" w:eastAsia="仿宋"/>
          <w:sz w:val="24"/>
          <w:szCs w:val="24"/>
          <w:lang w:val="en-US" w:eastAsia="zh-CN"/>
        </w:rPr>
        <w:t>00</w:t>
      </w:r>
      <w:r>
        <w:rPr>
          <w:rFonts w:ascii="仿宋" w:hAnsi="仿宋" w:eastAsia="仿宋"/>
          <w:sz w:val="24"/>
          <w:szCs w:val="24"/>
        </w:rPr>
        <w:t>分，</w:t>
      </w:r>
      <w:r>
        <w:rPr>
          <w:rFonts w:hint="eastAsia" w:ascii="仿宋" w:hAnsi="仿宋" w:eastAsia="仿宋"/>
          <w:sz w:val="24"/>
          <w:szCs w:val="24"/>
        </w:rPr>
        <w:t>地点为湖北省恩施市金桂大道恩旅大厦9楼。</w:t>
      </w:r>
    </w:p>
    <w:p>
      <w:pPr>
        <w:spacing w:after="0" w:line="440" w:lineRule="exact"/>
        <w:ind w:firstLine="566" w:firstLineChars="236"/>
        <w:jc w:val="both"/>
        <w:rPr>
          <w:rFonts w:ascii="仿宋" w:hAnsi="仿宋" w:eastAsia="仿宋"/>
          <w:color w:val="0000FF"/>
          <w:sz w:val="24"/>
          <w:szCs w:val="24"/>
        </w:rPr>
      </w:pPr>
      <w:r>
        <w:rPr>
          <w:rFonts w:hint="eastAsia" w:ascii="仿宋" w:hAnsi="仿宋" w:eastAsia="仿宋"/>
          <w:sz w:val="24"/>
          <w:szCs w:val="24"/>
        </w:rPr>
        <w:t>6</w:t>
      </w:r>
      <w:r>
        <w:rPr>
          <w:rFonts w:ascii="仿宋" w:hAnsi="仿宋" w:eastAsia="仿宋"/>
          <w:sz w:val="24"/>
          <w:szCs w:val="24"/>
        </w:rPr>
        <w:t>.2逾期送达的或者未送达指定地点的投标文件，</w:t>
      </w:r>
      <w:r>
        <w:rPr>
          <w:rFonts w:hint="eastAsia" w:ascii="仿宋" w:hAnsi="仿宋" w:eastAsia="仿宋"/>
          <w:sz w:val="24"/>
          <w:szCs w:val="24"/>
        </w:rPr>
        <w:t>招标</w:t>
      </w:r>
      <w:r>
        <w:rPr>
          <w:rFonts w:ascii="仿宋" w:hAnsi="仿宋" w:eastAsia="仿宋"/>
          <w:sz w:val="24"/>
          <w:szCs w:val="24"/>
        </w:rPr>
        <w:t>人不予受理。</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7、发布公告的媒介</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玩转恩施网（</w:t>
      </w:r>
      <w:r>
        <w:rPr>
          <w:rFonts w:ascii="仿宋" w:hAnsi="仿宋" w:eastAsia="仿宋"/>
          <w:sz w:val="24"/>
          <w:szCs w:val="24"/>
        </w:rPr>
        <w:t>http://www.1ztour.com/index.html</w:t>
      </w:r>
      <w:r>
        <w:rPr>
          <w:rFonts w:hint="eastAsia" w:ascii="仿宋" w:hAnsi="仿宋" w:eastAsia="仿宋"/>
          <w:sz w:val="24"/>
          <w:szCs w:val="24"/>
        </w:rPr>
        <w:t>）。</w:t>
      </w:r>
    </w:p>
    <w:p>
      <w:pPr>
        <w:spacing w:after="0" w:line="440" w:lineRule="exact"/>
        <w:rPr>
          <w:rFonts w:ascii="仿宋" w:hAnsi="仿宋" w:eastAsia="仿宋"/>
          <w:b/>
          <w:sz w:val="24"/>
          <w:szCs w:val="24"/>
        </w:rPr>
      </w:pPr>
      <w:r>
        <w:rPr>
          <w:rFonts w:hint="eastAsia" w:ascii="仿宋" w:hAnsi="仿宋" w:eastAsia="仿宋"/>
          <w:b/>
          <w:sz w:val="24"/>
          <w:szCs w:val="24"/>
        </w:rPr>
        <w:t xml:space="preserve">8、联系方式 </w:t>
      </w:r>
    </w:p>
    <w:p>
      <w:pPr>
        <w:spacing w:after="0" w:line="440" w:lineRule="exact"/>
        <w:rPr>
          <w:rFonts w:ascii="仿宋" w:hAnsi="仿宋" w:eastAsia="仿宋"/>
          <w:sz w:val="24"/>
          <w:szCs w:val="24"/>
        </w:rPr>
      </w:pPr>
      <w:r>
        <w:rPr>
          <w:rFonts w:hint="eastAsia" w:ascii="仿宋" w:hAnsi="仿宋" w:eastAsia="仿宋"/>
          <w:sz w:val="24"/>
          <w:szCs w:val="24"/>
        </w:rPr>
        <w:t xml:space="preserve">     招标人：恩施大清江国际旅游度假区有限公司 </w:t>
      </w:r>
    </w:p>
    <w:p>
      <w:pPr>
        <w:spacing w:after="0" w:line="440" w:lineRule="exact"/>
        <w:rPr>
          <w:rFonts w:ascii="仿宋" w:hAnsi="仿宋" w:eastAsia="仿宋"/>
          <w:sz w:val="24"/>
          <w:szCs w:val="24"/>
        </w:rPr>
      </w:pPr>
      <w:r>
        <w:rPr>
          <w:rFonts w:hint="eastAsia" w:ascii="仿宋" w:hAnsi="仿宋" w:eastAsia="仿宋"/>
          <w:sz w:val="24"/>
          <w:szCs w:val="24"/>
        </w:rPr>
        <w:t xml:space="preserve">     联系人：聂女士谭女士  联系电话： 0718-8277433</w:t>
      </w:r>
    </w:p>
    <w:p>
      <w:pPr>
        <w:pStyle w:val="2"/>
        <w:spacing w:after="120"/>
        <w:jc w:val="center"/>
        <w:rPr>
          <w:rFonts w:ascii="宋体" w:hAnsi="宋体"/>
          <w:b w:val="0"/>
          <w:bCs w:val="0"/>
          <w:sz w:val="28"/>
          <w:szCs w:val="28"/>
        </w:rPr>
      </w:pPr>
      <w:bookmarkStart w:id="1" w:name="_Toc518416744"/>
      <w:r>
        <w:rPr>
          <w:rFonts w:hint="eastAsia" w:ascii="宋体" w:hAnsi="宋体"/>
          <w:sz w:val="28"/>
          <w:szCs w:val="28"/>
        </w:rPr>
        <w:t>第二章 投标人须知</w:t>
      </w:r>
      <w:bookmarkEnd w:id="1"/>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400" w:lineRule="exact"/>
              <w:jc w:val="both"/>
              <w:rPr>
                <w:rFonts w:ascii="仿宋" w:hAnsi="仿宋" w:eastAsia="仿宋" w:cs="Times New Roman"/>
                <w:sz w:val="24"/>
                <w:szCs w:val="24"/>
              </w:rPr>
            </w:pPr>
            <w:r>
              <w:rPr>
                <w:rFonts w:hint="eastAsia" w:ascii="仿宋" w:hAnsi="仿宋" w:eastAsia="仿宋" w:cs="Times New Roman"/>
                <w:sz w:val="24"/>
                <w:szCs w:val="24"/>
              </w:rPr>
              <w:t>招标人：恩施大清江国际旅游度假区有限公司</w:t>
            </w:r>
          </w:p>
          <w:p>
            <w:pPr>
              <w:spacing w:after="0" w:line="400" w:lineRule="exact"/>
              <w:jc w:val="both"/>
              <w:rPr>
                <w:rFonts w:ascii="仿宋" w:hAnsi="仿宋" w:eastAsia="仿宋" w:cs="Times New Roman"/>
                <w:sz w:val="24"/>
                <w:szCs w:val="24"/>
              </w:rPr>
            </w:pPr>
            <w:r>
              <w:rPr>
                <w:rFonts w:hint="eastAsia" w:ascii="仿宋" w:hAnsi="仿宋" w:eastAsia="仿宋" w:cs="Times New Roman"/>
                <w:sz w:val="24"/>
                <w:szCs w:val="24"/>
              </w:rPr>
              <w:t>联系人：聂女士、谭女士</w:t>
            </w:r>
          </w:p>
          <w:p>
            <w:pPr>
              <w:spacing w:after="0" w:line="400" w:lineRule="exact"/>
              <w:jc w:val="both"/>
              <w:rPr>
                <w:rFonts w:ascii="仿宋" w:hAnsi="仿宋" w:eastAsia="仿宋" w:cs="Times New Roman"/>
                <w:color w:val="FF0000"/>
                <w:sz w:val="24"/>
                <w:szCs w:val="24"/>
              </w:rPr>
            </w:pPr>
            <w:r>
              <w:rPr>
                <w:rFonts w:hint="eastAsia" w:ascii="仿宋" w:hAnsi="仿宋" w:eastAsia="仿宋" w:cs="Times New Roman"/>
                <w:sz w:val="24"/>
                <w:szCs w:val="24"/>
              </w:rPr>
              <w:t>电  话：</w:t>
            </w:r>
            <w:r>
              <w:rPr>
                <w:rFonts w:hint="eastAsia" w:ascii="仿宋" w:hAnsi="仿宋" w:eastAsia="仿宋"/>
                <w:sz w:val="24"/>
                <w:szCs w:val="24"/>
              </w:rPr>
              <w:t>0718-827743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vAlign w:val="center"/>
          </w:tcPr>
          <w:p>
            <w:pPr>
              <w:spacing w:after="0" w:line="400" w:lineRule="exact"/>
              <w:jc w:val="both"/>
              <w:rPr>
                <w:rFonts w:ascii="仿宋" w:hAnsi="仿宋" w:eastAsia="仿宋" w:cs="Times New Roman"/>
                <w:sz w:val="24"/>
                <w:szCs w:val="24"/>
              </w:rPr>
            </w:pPr>
            <w:r>
              <w:rPr>
                <w:rFonts w:hint="eastAsia" w:ascii="仿宋" w:hAnsi="仿宋" w:eastAsia="仿宋" w:cs="Times New Roman"/>
                <w:sz w:val="24"/>
                <w:szCs w:val="24"/>
              </w:rPr>
              <w:t>工程名称：清江红花峡客运索道工程技术指导服务项目。</w:t>
            </w:r>
          </w:p>
          <w:p>
            <w:pPr>
              <w:spacing w:after="0" w:line="400" w:lineRule="exact"/>
              <w:jc w:val="both"/>
              <w:rPr>
                <w:rFonts w:ascii="仿宋" w:hAnsi="仿宋" w:eastAsia="仿宋" w:cs="Times New Roman"/>
                <w:sz w:val="24"/>
                <w:szCs w:val="24"/>
              </w:rPr>
            </w:pPr>
            <w:r>
              <w:rPr>
                <w:rFonts w:hint="eastAsia" w:ascii="仿宋" w:hAnsi="仿宋" w:eastAsia="仿宋" w:cs="Times New Roman"/>
                <w:sz w:val="24"/>
                <w:szCs w:val="24"/>
              </w:rPr>
              <w:t>建设地点：湖北省恩施州恩施市红花峡峰林景区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vAlign w:val="center"/>
          </w:tcPr>
          <w:p>
            <w:pPr>
              <w:spacing w:after="0" w:line="400" w:lineRule="exact"/>
              <w:jc w:val="both"/>
              <w:rPr>
                <w:rFonts w:ascii="仿宋" w:hAnsi="仿宋" w:eastAsia="仿宋" w:cs="Times New Roman"/>
                <w:sz w:val="24"/>
                <w:szCs w:val="24"/>
              </w:rPr>
            </w:pPr>
            <w:r>
              <w:rPr>
                <w:rFonts w:hint="eastAsia" w:ascii="仿宋" w:hAnsi="仿宋" w:eastAsia="仿宋" w:cs="Times New Roman"/>
                <w:sz w:val="24"/>
                <w:szCs w:val="24"/>
              </w:rPr>
              <w:t>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sz w:val="24"/>
                <w:szCs w:val="24"/>
              </w:rPr>
              <w:t>服务期限：</w:t>
            </w:r>
            <w:r>
              <w:rPr>
                <w:rFonts w:hint="eastAsia" w:ascii="仿宋" w:hAnsi="仿宋" w:eastAsia="仿宋"/>
                <w:sz w:val="24"/>
                <w:szCs w:val="24"/>
              </w:rPr>
              <w:t>从初步设计阶段至竣工验收合格之日止。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tcPr>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投标人资格条件：详见招标公告第3条。其中：“</w:t>
            </w:r>
            <w:r>
              <w:rPr>
                <w:rFonts w:hint="eastAsia" w:ascii="仿宋" w:hAnsi="仿宋" w:eastAsia="仿宋"/>
                <w:sz w:val="24"/>
                <w:szCs w:val="24"/>
              </w:rPr>
              <w:t>近三年（投标截止日前推36个月）独立承担过的类似工程业绩</w:t>
            </w:r>
            <w:r>
              <w:rPr>
                <w:rFonts w:hint="eastAsia" w:ascii="仿宋" w:hAnsi="仿宋" w:eastAsia="仿宋" w:cs="Times New Roman"/>
                <w:sz w:val="24"/>
                <w:szCs w:val="24"/>
              </w:rPr>
              <w:t>”，要求在开标会上提供合同原件，并在投标文件“商务文件”“证明投标人合格的资格文件”中提供合同复印件，不符合上述要求的，将视为资格审查不合格。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投标报价及费用：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sz w:val="24"/>
                <w:szCs w:val="24"/>
              </w:rPr>
              <w:t>投标限价（最高限价）：玖拾万元整（￥90.00万元）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现场踏勘：招标人向投标人提供的有关资料和数据，是招标人现有的能使投标人使用的资料，招标人对投标人由此做出的推论、理解、和结论概不负责。投标人投标前应联系招标人对项目现场及周围环境进行踏勘，了解招标人的要求，以便获取有关编制投标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color w:val="0000FF"/>
                <w:sz w:val="24"/>
                <w:szCs w:val="24"/>
              </w:rPr>
            </w:pPr>
            <w:r>
              <w:rPr>
                <w:rFonts w:hint="eastAsia" w:ascii="仿宋" w:hAnsi="仿宋" w:eastAsia="仿宋" w:cs="Times New Roman"/>
                <w:sz w:val="24"/>
                <w:szCs w:val="24"/>
              </w:rPr>
              <w:t>投标人提出疑问的截止时间：2018年7月2</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color w:val="0000FF"/>
                <w:sz w:val="24"/>
                <w:szCs w:val="24"/>
              </w:rPr>
            </w:pPr>
            <w:r>
              <w:rPr>
                <w:rFonts w:hint="eastAsia" w:ascii="仿宋" w:hAnsi="仿宋" w:eastAsia="仿宋" w:cs="Times New Roman"/>
                <w:sz w:val="24"/>
                <w:szCs w:val="24"/>
              </w:rPr>
              <w:t>招标文件的补充、修改、澄清的截止时间：2018年</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31</w:t>
            </w:r>
            <w:r>
              <w:rPr>
                <w:rFonts w:hint="eastAsia" w:ascii="仿宋" w:hAnsi="仿宋" w:eastAsia="仿宋" w:cs="Times New Roman"/>
                <w:sz w:val="24"/>
                <w:szCs w:val="24"/>
              </w:rPr>
              <w:t>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投标文件组成：</w:t>
            </w:r>
            <w:r>
              <w:rPr>
                <w:rFonts w:hint="eastAsia" w:ascii="仿宋" w:hAnsi="仿宋" w:eastAsia="仿宋" w:cs="Times New Roman"/>
                <w:sz w:val="24"/>
                <w:szCs w:val="24"/>
              </w:rPr>
              <w:t>投标文件由商务文件、报价文件和技术文件组成（装订成一册）。投标文件一式伍份（正本壹份，副本肆份）。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投标有效期：投标截止日起60日。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投标截止时间：详见招标公告。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投标文件递交截止时间：</w:t>
            </w: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w:t>
            </w:r>
            <w:r>
              <w:rPr>
                <w:rFonts w:hint="eastAsia" w:ascii="仿宋" w:hAnsi="仿宋" w:eastAsia="仿宋"/>
                <w:sz w:val="24"/>
                <w:szCs w:val="24"/>
              </w:rPr>
              <w:t>日10时00分</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开标时间：详见招标公告。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原件携带要求：</w:t>
            </w:r>
          </w:p>
          <w:p>
            <w:pPr>
              <w:spacing w:after="0" w:line="360" w:lineRule="auto"/>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投标人应在开标会现场提交下列资格证明材料：</w:t>
            </w:r>
          </w:p>
          <w:p>
            <w:pPr>
              <w:spacing w:after="0" w:line="360" w:lineRule="auto"/>
              <w:ind w:firstLine="468"/>
              <w:rPr>
                <w:rFonts w:ascii="仿宋" w:hAnsi="仿宋" w:eastAsia="仿宋" w:cs="Times New Roman"/>
                <w:sz w:val="24"/>
                <w:szCs w:val="24"/>
              </w:rPr>
            </w:pPr>
            <w:r>
              <w:rPr>
                <w:rFonts w:ascii="仿宋" w:hAnsi="仿宋" w:eastAsia="仿宋" w:cs="Times New Roman"/>
                <w:sz w:val="24"/>
                <w:szCs w:val="24"/>
              </w:rPr>
              <w:t>1.1</w:t>
            </w:r>
            <w:r>
              <w:rPr>
                <w:rFonts w:hint="eastAsia" w:ascii="仿宋" w:hAnsi="仿宋" w:eastAsia="仿宋" w:cs="Times New Roman"/>
                <w:sz w:val="24"/>
                <w:szCs w:val="24"/>
              </w:rPr>
              <w:t>有效的企业法人营业执照副本或事业单位法人证书副本，均为原件；</w:t>
            </w:r>
          </w:p>
          <w:p>
            <w:pPr>
              <w:spacing w:after="0" w:line="360" w:lineRule="auto"/>
              <w:ind w:firstLine="468"/>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2</w:t>
            </w:r>
            <w:r>
              <w:rPr>
                <w:rFonts w:hint="eastAsia" w:ascii="仿宋" w:hAnsi="仿宋" w:eastAsia="仿宋"/>
                <w:sz w:val="24"/>
                <w:szCs w:val="24"/>
              </w:rPr>
              <w:t>近三年（投标截止日前推36个月）独立承担过的类似工程业绩</w:t>
            </w:r>
            <w:r>
              <w:rPr>
                <w:rFonts w:hint="eastAsia" w:ascii="仿宋" w:hAnsi="仿宋" w:eastAsia="仿宋" w:cs="Times New Roman"/>
                <w:sz w:val="24"/>
                <w:szCs w:val="24"/>
              </w:rPr>
              <w:t>合同书原件；</w:t>
            </w:r>
          </w:p>
          <w:p>
            <w:pPr>
              <w:spacing w:after="0" w:line="360" w:lineRule="auto"/>
              <w:ind w:firstLine="468"/>
              <w:rPr>
                <w:rFonts w:ascii="仿宋" w:hAnsi="仿宋" w:eastAsia="仿宋"/>
                <w:sz w:val="24"/>
                <w:szCs w:val="24"/>
              </w:rPr>
            </w:pPr>
            <w:r>
              <w:rPr>
                <w:rFonts w:hint="eastAsia" w:ascii="仿宋" w:hAnsi="仿宋" w:eastAsia="仿宋" w:cs="Times New Roman"/>
                <w:sz w:val="24"/>
                <w:szCs w:val="24"/>
              </w:rPr>
              <w:t>1.3</w:t>
            </w:r>
            <w:r>
              <w:rPr>
                <w:rFonts w:hint="eastAsia" w:ascii="仿宋" w:hAnsi="仿宋" w:eastAsia="仿宋"/>
                <w:sz w:val="24"/>
                <w:szCs w:val="24"/>
              </w:rPr>
              <w:t>《检查机关行贿犯罪档案查询结果告知函》；</w:t>
            </w:r>
          </w:p>
          <w:p>
            <w:pPr>
              <w:spacing w:after="0" w:line="360" w:lineRule="auto"/>
              <w:ind w:firstLine="468"/>
              <w:rPr>
                <w:rFonts w:ascii="仿宋" w:hAnsi="仿宋" w:eastAsia="仿宋"/>
                <w:kern w:val="10"/>
                <w:sz w:val="24"/>
                <w:szCs w:val="24"/>
              </w:rPr>
            </w:pPr>
            <w:r>
              <w:rPr>
                <w:rFonts w:hint="eastAsia" w:ascii="仿宋" w:hAnsi="仿宋" w:eastAsia="仿宋" w:cs="Times New Roman"/>
                <w:sz w:val="24"/>
                <w:szCs w:val="24"/>
              </w:rPr>
              <w:t>1.4</w:t>
            </w:r>
            <w:r>
              <w:rPr>
                <w:rFonts w:hint="eastAsia" w:ascii="仿宋" w:hAnsi="仿宋" w:eastAsia="仿宋"/>
                <w:kern w:val="10"/>
                <w:sz w:val="24"/>
                <w:szCs w:val="24"/>
              </w:rPr>
              <w:t>投标人在参加投标活动前三年内，在经营活动中没有重大违法记录（提供书面声明）；没有不良行为记录（提供信用中国查询记录截图）；</w:t>
            </w:r>
          </w:p>
          <w:p>
            <w:pPr>
              <w:spacing w:after="0" w:line="360" w:lineRule="auto"/>
              <w:ind w:firstLine="468"/>
              <w:rPr>
                <w:rFonts w:ascii="仿宋" w:hAnsi="仿宋" w:eastAsia="仿宋" w:cs="Times New Roman"/>
                <w:sz w:val="24"/>
                <w:szCs w:val="24"/>
              </w:rPr>
            </w:pPr>
            <w:r>
              <w:rPr>
                <w:rFonts w:hint="eastAsia" w:ascii="仿宋" w:hAnsi="仿宋" w:eastAsia="仿宋"/>
                <w:kern w:val="10"/>
                <w:sz w:val="24"/>
                <w:szCs w:val="24"/>
              </w:rPr>
              <w:t>1.5不拖欠劳动者工资承诺书；</w:t>
            </w:r>
          </w:p>
          <w:p>
            <w:pPr>
              <w:spacing w:after="0" w:line="360" w:lineRule="auto"/>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6法定代表人授权委托书（法定代表人授权他人参加开标会的情形须提供）、法定代表人或其委托代理人的身份证件，均为原件；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投标文件中的，视同已在开标现场提交。以下情形下在开标现场提供下列证明文件将被视为与提供原件相同的效力：</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）公证机关的公证书原件（应当提供证件的主要信息）；</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上述第</w:t>
            </w:r>
            <w:r>
              <w:rPr>
                <w:rFonts w:ascii="仿宋" w:hAnsi="仿宋" w:eastAsia="仿宋" w:cs="Times New Roman"/>
                <w:sz w:val="24"/>
                <w:szCs w:val="24"/>
              </w:rPr>
              <w:t>1</w:t>
            </w:r>
            <w:r>
              <w:rPr>
                <w:rFonts w:hint="eastAsia" w:ascii="仿宋" w:hAnsi="仿宋" w:eastAsia="仿宋" w:cs="Times New Roman"/>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本招标文件仅适用于本次招标项目的招标、投标、评标、定标、验收、合同履约、付款等行为（法律、法规另有规定的，从其规定）。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1.2.1“招标人”是指招标单位</w:t>
      </w:r>
      <w:r>
        <w:rPr>
          <w:rFonts w:hint="eastAsia" w:ascii="仿宋" w:hAnsi="仿宋" w:eastAsia="仿宋"/>
          <w:sz w:val="24"/>
          <w:szCs w:val="24"/>
          <w:u w:val="single"/>
        </w:rPr>
        <w:t>恩施大清江国际旅游度假区有限公司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1.2.2“投标人”是指按照一定的程序，从招标人获取了招标文件，并向招标人提交投标文件的法人。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1.2.3“招标采购单位”是指招标人。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 “服务”是指招标文件规定中标方须承担的工作及相应的配合服务工作。具体详见招标文件第三章。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1.2.5“项目”是指中标人按招标文件规定向招标人提供相关服务。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1.2.6招标文件中带“▲”条款为实质性要求条款，投标人应无条件投标，否则视为无效投标。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本次招标采用内部招标方式进行。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1.4.1投标人资格条件：见投标人须知前附表及招标公告。</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本项目不允许分和包转包。 </w:t>
      </w:r>
    </w:p>
    <w:p>
      <w:pPr>
        <w:spacing w:after="0" w:line="360" w:lineRule="auto"/>
        <w:jc w:val="both"/>
        <w:rPr>
          <w:rFonts w:ascii="仿宋" w:hAnsi="仿宋" w:eastAsia="仿宋"/>
          <w:sz w:val="24"/>
          <w:szCs w:val="24"/>
        </w:rPr>
      </w:pPr>
      <w:r>
        <w:rPr>
          <w:rFonts w:hint="eastAsia" w:ascii="仿宋" w:hAnsi="仿宋" w:eastAsia="仿宋"/>
          <w:b/>
          <w:sz w:val="24"/>
          <w:szCs w:val="24"/>
        </w:rPr>
        <w:t>1.7现场勘踏：</w:t>
      </w:r>
      <w:r>
        <w:rPr>
          <w:rFonts w:hint="eastAsia" w:ascii="仿宋" w:hAnsi="仿宋" w:eastAsia="仿宋"/>
          <w:sz w:val="24"/>
          <w:szCs w:val="24"/>
        </w:rPr>
        <w:t xml:space="preserve">见投标人须知前附表。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1.8.2投标人应仔细阅读招标文件的所有内容，按照招标文件的要求提交投标文件，并对所提供的全部资料的真实性承担法律责任。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1.8.3投标人在投标活动中提供任何虚假材料,其投标无效；中标后发现的,中标人须依照《中华人民共和国消费者权益保护法》第49条之规定双倍赔偿招标人，且民事赔偿并不免除违法投标人的其他责任。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1.8.4投标人递交的投标文件除投标截止时间前书面撤回、密封不符合规定退回等招标文件规定情形外，均不退回投标人，请投标人自行做好存档。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2.招标文件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2.1招标文件的构成。本招标文件由以下部份组成：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（1）招标公告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（3）招标需求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（5）投标文件格式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（6）本项目招标文件的澄清、答复、修改、补充的内容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2.2招标文件中涉及的时间为北京时间，涉及的币种为人民币。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投标人没有按照招标文件要求提供全部资料，或者投标人没有对招标文件在各方面作出实质性投标是投标人的风险，并可能导致其投标被拒绝。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2.4招标文件的澄清与修改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招标文件的答疑：招标文件收受人对招标文件如有疑问，应在须知前附表规定的提出疑问截止时间前按招标公告中的联系方式，以书面形式通知招标人。招标人对在此规定时间以前收到的、且需要做出澄清的问题，将以第2.4.3款所述方式进行答复，但不说明问题的来源。答疑的内容构成招标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2.4.2招标文件收受人逾期未提出疑问的或未按招标文件规定的形式提出疑问的，视为无疑问，招标人不再另行安排时间答疑。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招标文件补充、修改或澄清：招标人在投标截止日前需要对招标文件进行补充或修改、澄清的，可以按照规定对其进行补充或修改、澄清，并以电子邮件形式告知投标人招标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2.4.4招标文件澄清、答复、修改、补充的内容为招标文件的组成部分。当招标文件与招标文件的答复、澄清、修改、补充通知就同一内容的表述不一致时，以最后发出的内容为准。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3.投标文件的编制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3.1投标文件的组成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投标文件应包括：商务文件、投标报价和技术文件文件三个部分（装订成一册），正本壹份、副本肆份。 投标文件电子文件一份（U盘）。</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3.1.1商务文件包括：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（1）法定代表人授权委托书(格式见招标文件)；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（2）证明投标人合格的资格文件（要求见招标文件）；</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 xml:space="preserve">（3）投标人业绩；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（4）投标文件格式中要求的以及投标人认为需要提交的其他材料（如有）。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（1）机构设置及主要人员情况介绍（格式见招标文件）；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（2）技术指导服务方案（格式自拟）；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（3）投标人需要说明的其他文件和说明（如有）。</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（1）投标函（格式见招标文件）。投标函除在投标文件中装订外，还应单独装订一份密封在信封内，唱标时使用。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（2）报价书（格式见招标文件）。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3.2投标文件的语言及计量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3.2.1投标文件以及投标人与招标人就有关投标事宜的所有来往函电，均应以中文汉语书写。除签名、盖章、专用名称等特殊情形外，以中文汉语以外的文字表述的投标文件视同未提供。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3.2.2投标计量单位，招标文件已有明确规定的，应使用招标文件规定的计量单位；招标文件没有规定的，应采用中华人民共和国法定计量单位，货币单位为人民币元，否则视同未投标。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3.3.1投标报价应按招标文件中相关附表格式填写。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3.3.3投标文件中的投标报价只允许有一个报价，有选择的或有条件的报价将不予接受。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投标人在其投标文件中，应提供证明其有资格参加投标，以及中标后有履行合同所必需的人员、管理等方面能力的证明文件，包括但不限于以下方面：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3.4.2投标人及其法定代表人近三年内无行贿犯罪记录的书面承诺。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3.5证明服务符合招标文件规定的文件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3.5.1招标文件商务要求和技术参数前如标有“▲”号，则表示该参数为关键性商务或技术参数，投标人必须无条件满足，否则该投标人的投标文件在评审中将被视为无效投标。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3.6投标文件的有效期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3.6.1自投标截止日起60天内投标文件应保持有效。有效期不足的投标文件将被拒绝。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3.6.2在特殊情况下，招标人可于原招标有效期满之前，向投标人提出延长投标有效期的要求。延长投标有效期的要求将被发布在指定的网站上或者直接以电子邮件的形式告知投标人。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3.7投标文件的编制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w:t>
      </w:r>
      <w:r>
        <w:rPr>
          <w:rFonts w:hint="eastAsia" w:ascii="仿宋" w:hAnsi="仿宋" w:eastAsia="仿宋"/>
          <w:sz w:val="24"/>
          <w:szCs w:val="24"/>
          <w:u w:val="single"/>
        </w:rPr>
        <w:t>投标人应按本招标文件规定的格式、要求和顺序编制、装订投标文件，投标文件内容不完整、编排混乱导致投标文件被误读、漏读或者查找不到相关内容的，投标无效</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3.7.2投标文件的正本与副本须打印或用不褪色的墨水填写。投标文件封面须清楚地标明“正本”或“副本”字样，正本与副本内容一致；若正本与副本不一致，以正本为准。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3.7.3投标文件封面应当由投标人盖公章。《投标函》应由投标人盖公章或由法定代表人（或其委托代理人）签名的，仅由委托代理人签名的，应提供有效的法定代表人授权委托书。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3.7.4投标文件应尽量避免涂改、行间插字或删除。如果出现上述情况，应当由投标人的法定代表人（或委托代理人）签名或由投标人盖公章。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3.8投标文件的装订、密封、修改和撤回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3.8.1投标文件的正本、副本应分别装订成册。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3.8.2所有投标文件装订须牢固不易拆散和换页。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3.8.3投标人应将投标文件用密封袋密封包装。</w:t>
      </w:r>
      <w:r>
        <w:rPr>
          <w:rFonts w:hint="eastAsia" w:ascii="仿宋" w:hAnsi="仿宋" w:eastAsia="仿宋"/>
          <w:sz w:val="24"/>
          <w:szCs w:val="24"/>
          <w:u w:val="single"/>
        </w:rPr>
        <w:t>投标文件的密封袋封面上应注明投标人名称、投标项目名称及“开标时启封”字样，并加盖投标人公章。封装应该严密、不易破损。未按规定密封或标记的投标文件将被拒绝、退还给投标人。</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投标截止时间之前，可以对已提交的投标文件进行修改或撤回，并书面通知招标人；修改后重新递交的投标文件应当按本招标文件的要求签署、盖章和密封。投标截止时间后，投标人不得撤回、修改投标文件。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3.9投标文件的递交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3.9.1投标人应当在投标须知前附表和招标公告规定的投标截止时间前向招标人递交投标文件，逾期递交的投标文件将被拒绝。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3.9.2投标文件必须由专人按照投标须知前附表和招标公告注明的地址送达，采用特快专递、电话、传真形式的，将被拒绝。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4.1招标人将按投标须知前附表和招标公告规定的时间和地点组织开标，投标人的法定代表人或其委托代理人应持身份证参加开标会并签到。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4.2开标程序：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4.2.1开标会由招标人主持，主持人宣布开标会议开始。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投标人递交资格证明材料。详见投标人须知前附表。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4.2.3查验投标人到场情况及投标文件的密封情况。投标人的法定代表人或其委托代理人未参加开标会，或投投标文件没有按规定密封的，投标文件将被拒绝、退还给投标人。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4.2.6资格性审查和符合性审查结束后，由主持人公布无效投标的投标人名单、投标无效的原因。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4.2.7工作人员当众拆封经上述审查后有效投标的投标报价文件，唱标人宣读投标人名称、投标报价，并由投标人在投标报价记录上签字确认。</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4.2.8开标会由专人负责记录。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4.2.9投标人对开标有异议的，应当在开标现场提出。开标后投标人不得对开标现场已确认事项提出质疑。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招标人根据招标项目的特点组建评标委员会。评标委员会由5人或以上奇数组成。具体评标事务由评标委员会负责。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本项目采用不公开方式评标，评标的依据为招标文件和投标文件。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5.3.2评标办法。本项目评标办法是综合评估法。评标委员会应根据投标人的资格条件、业绩、财务状况、技术力量、履约能力和投标报价进行综合评定。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ind w:firstLine="468"/>
        <w:jc w:val="both"/>
        <w:rPr>
          <w:rFonts w:ascii="仿宋" w:hAnsi="仿宋" w:eastAsia="仿宋"/>
          <w:sz w:val="24"/>
          <w:szCs w:val="24"/>
        </w:rPr>
      </w:pPr>
      <w:r>
        <w:rPr>
          <w:rFonts w:hint="eastAsia" w:ascii="仿宋" w:hAnsi="仿宋" w:eastAsia="仿宋"/>
          <w:sz w:val="24"/>
          <w:szCs w:val="24"/>
        </w:rPr>
        <w:t xml:space="preserve">5.4.3投标报价文件的符合性审查 </w:t>
      </w:r>
    </w:p>
    <w:p>
      <w:pPr>
        <w:spacing w:after="0" w:line="360" w:lineRule="auto"/>
        <w:ind w:firstLine="468"/>
        <w:jc w:val="both"/>
        <w:rPr>
          <w:rFonts w:ascii="仿宋" w:hAnsi="仿宋" w:eastAsia="仿宋"/>
          <w:sz w:val="24"/>
          <w:szCs w:val="24"/>
        </w:rPr>
      </w:pPr>
      <w:r>
        <w:rPr>
          <w:rFonts w:hint="eastAsia" w:ascii="仿宋" w:hAnsi="仿宋" w:eastAsia="仿宋"/>
          <w:sz w:val="24"/>
          <w:szCs w:val="24"/>
        </w:rPr>
        <w:t>5.4.4</w:t>
      </w:r>
      <w:r>
        <w:rPr>
          <w:rFonts w:hint="eastAsia" w:ascii="仿宋" w:hAnsi="仿宋" w:eastAsia="仿宋"/>
          <w:sz w:val="24"/>
          <w:szCs w:val="24"/>
          <w:u w:val="single"/>
        </w:rPr>
        <w:t>评标委员会认为有必要就报价与投标人进行磋商的，评标委员会有权与投标人进行磋商并要求投标人进行二次或多次报价。投标人的最终报价将作为计算得分的最终数值</w:t>
      </w:r>
      <w:r>
        <w:rPr>
          <w:rFonts w:hint="eastAsia" w:ascii="仿宋" w:hAnsi="仿宋" w:eastAsia="仿宋"/>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5.4.5推荐中标候选人</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6.2招标人于评标结束后依据评审意见表确定中标人。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7.1.1中标人应自接到招标人通知之日起3个工作日内到招标人处领取中标通知书，无故逾期不领取的，视为自动放弃中标资格。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7.1.2中标人应在领取中标通知书之日起30个工作日内与招标人签订合同。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7.1.3签订合同的依据是招标文件和中标人的投标文件，不得对其作实质性的修改，否则签订的合同无效。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pStyle w:val="2"/>
        <w:jc w:val="center"/>
        <w:rPr>
          <w:rFonts w:ascii="宋体" w:hAnsi="宋体" w:cs="MingLiU"/>
          <w:kern w:val="0"/>
          <w:sz w:val="28"/>
          <w:szCs w:val="28"/>
        </w:rPr>
      </w:pPr>
      <w:bookmarkStart w:id="2" w:name="_Toc233114000"/>
      <w:bookmarkStart w:id="3" w:name="_Toc294434386"/>
      <w:bookmarkStart w:id="4" w:name="_Toc518416745"/>
      <w:bookmarkStart w:id="5" w:name="_Toc448855850"/>
      <w:r>
        <w:rPr>
          <w:rFonts w:hint="eastAsia" w:ascii="宋体" w:hAnsi="宋体" w:cs="MingLiU"/>
          <w:kern w:val="0"/>
          <w:sz w:val="28"/>
          <w:szCs w:val="28"/>
        </w:rPr>
        <w:t>第三章评标办法</w:t>
      </w:r>
      <w:bookmarkEnd w:id="2"/>
      <w:bookmarkEnd w:id="3"/>
      <w:bookmarkEnd w:id="4"/>
      <w:bookmarkEnd w:id="5"/>
    </w:p>
    <w:p>
      <w:pPr>
        <w:jc w:val="center"/>
        <w:rPr>
          <w:rFonts w:ascii="仿宋" w:hAnsi="仿宋" w:eastAsia="仿宋" w:cs="宋体"/>
          <w:bCs/>
          <w:sz w:val="24"/>
          <w:szCs w:val="24"/>
        </w:rPr>
      </w:pPr>
      <w:bookmarkStart w:id="6" w:name="_Toc13054"/>
      <w:bookmarkStart w:id="7" w:name="_Toc511919132"/>
      <w:bookmarkStart w:id="8" w:name="_Toc332618837"/>
      <w:bookmarkStart w:id="9" w:name="_Toc420764374"/>
      <w:bookmarkStart w:id="10" w:name="_Toc420778141"/>
      <w:bookmarkStart w:id="11" w:name="_Toc448855851"/>
      <w:r>
        <w:rPr>
          <w:rFonts w:hint="eastAsia" w:ascii="仿宋" w:hAnsi="仿宋" w:eastAsia="仿宋" w:cs="宋体"/>
          <w:bCs/>
          <w:sz w:val="24"/>
          <w:szCs w:val="24"/>
        </w:rPr>
        <w:t>评标办法前附表</w:t>
      </w:r>
      <w:bookmarkEnd w:id="6"/>
      <w:bookmarkEnd w:id="7"/>
      <w:bookmarkEnd w:id="8"/>
    </w:p>
    <w:tbl>
      <w:tblPr>
        <w:tblStyle w:val="47"/>
        <w:tblW w:w="9765" w:type="dxa"/>
        <w:jc w:val="center"/>
        <w:tblInd w:w="-6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1578"/>
        <w:gridCol w:w="2744"/>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26" w:type="dxa"/>
            <w:gridSpan w:val="2"/>
            <w:tcBorders>
              <w:top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b/>
                <w:sz w:val="21"/>
                <w:szCs w:val="21"/>
              </w:rPr>
            </w:pPr>
            <w:r>
              <w:rPr>
                <w:rFonts w:ascii="仿宋" w:hAnsi="仿宋" w:eastAsia="仿宋" w:cs="Times New Roman"/>
                <w:b/>
                <w:sz w:val="21"/>
                <w:szCs w:val="21"/>
              </w:rPr>
              <w:t>条款号</w:t>
            </w: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b/>
                <w:sz w:val="21"/>
                <w:szCs w:val="21"/>
              </w:rPr>
            </w:pPr>
            <w:r>
              <w:rPr>
                <w:rFonts w:ascii="仿宋" w:hAnsi="仿宋" w:eastAsia="仿宋" w:cs="Times New Roman"/>
                <w:b/>
                <w:sz w:val="21"/>
                <w:szCs w:val="21"/>
              </w:rPr>
              <w:t>评审因素</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b/>
                <w:sz w:val="21"/>
                <w:szCs w:val="21"/>
              </w:rPr>
            </w:pPr>
            <w:r>
              <w:rPr>
                <w:rFonts w:ascii="仿宋" w:hAnsi="仿宋" w:eastAsia="仿宋" w:cs="Times New Roman"/>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748" w:type="dxa"/>
            <w:vMerge w:val="restart"/>
            <w:tcBorders>
              <w:top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.1.1</w:t>
            </w:r>
          </w:p>
        </w:tc>
        <w:tc>
          <w:tcPr>
            <w:tcW w:w="1578" w:type="dxa"/>
            <w:vMerge w:val="restart"/>
            <w:tcBorders>
              <w:top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形式评审标准</w:t>
            </w: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投标人名称</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ascii="仿宋" w:hAnsi="仿宋" w:eastAsia="仿宋" w:cs="Times New Roman"/>
                <w:sz w:val="21"/>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748" w:type="dxa"/>
            <w:vMerge w:val="continue"/>
            <w:tcBorders>
              <w:top w:val="nil"/>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top w:val="nil"/>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投标函签字盖章</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ascii="仿宋" w:hAnsi="仿宋" w:eastAsia="仿宋" w:cs="Times New Roman"/>
                <w:sz w:val="21"/>
                <w:szCs w:val="21"/>
              </w:rPr>
              <w:t>有法定代表人或其委托代理人签字</w:t>
            </w:r>
            <w:r>
              <w:rPr>
                <w:rFonts w:hint="eastAsia" w:ascii="仿宋" w:hAnsi="仿宋" w:eastAsia="仿宋" w:cs="Times New Roman"/>
                <w:sz w:val="21"/>
                <w:szCs w:val="21"/>
              </w:rPr>
              <w:t>和</w:t>
            </w:r>
            <w:r>
              <w:rPr>
                <w:rFonts w:ascii="仿宋" w:hAnsi="仿宋" w:eastAsia="仿宋" w:cs="Times New Roman"/>
                <w:sz w:val="21"/>
                <w:szCs w:val="21"/>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748" w:type="dxa"/>
            <w:vMerge w:val="continue"/>
            <w:tcBorders>
              <w:top w:val="nil"/>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top w:val="nil"/>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投标文件格式</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ascii="仿宋" w:hAnsi="仿宋" w:eastAsia="仿宋" w:cs="Times New Roman"/>
                <w:sz w:val="21"/>
                <w:szCs w:val="21"/>
              </w:rPr>
              <w:t>符合第</w:t>
            </w:r>
            <w:r>
              <w:rPr>
                <w:rFonts w:hint="eastAsia" w:ascii="仿宋" w:hAnsi="仿宋" w:eastAsia="仿宋" w:cs="Times New Roman"/>
                <w:sz w:val="21"/>
                <w:szCs w:val="21"/>
              </w:rPr>
              <w:t>五</w:t>
            </w:r>
            <w:r>
              <w:rPr>
                <w:rFonts w:ascii="仿宋" w:hAnsi="仿宋" w:eastAsia="仿宋" w:cs="Times New Roman"/>
                <w:sz w:val="21"/>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748" w:type="dxa"/>
            <w:vMerge w:val="continue"/>
            <w:tcBorders>
              <w:top w:val="nil"/>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top w:val="nil"/>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报价唯一</w:t>
            </w:r>
          </w:p>
        </w:tc>
        <w:tc>
          <w:tcPr>
            <w:tcW w:w="4695" w:type="dxa"/>
            <w:tcBorders>
              <w:top w:val="single" w:color="auto" w:sz="4" w:space="0"/>
              <w:left w:val="single" w:color="auto" w:sz="4" w:space="0"/>
              <w:right w:val="single" w:color="auto" w:sz="4" w:space="0"/>
            </w:tcBorders>
            <w:vAlign w:val="center"/>
          </w:tcPr>
          <w:p>
            <w:pPr>
              <w:spacing w:line="276" w:lineRule="auto"/>
              <w:rPr>
                <w:rFonts w:ascii="仿宋" w:hAnsi="仿宋" w:eastAsia="仿宋" w:cs="Times New Roman"/>
                <w:sz w:val="21"/>
                <w:szCs w:val="21"/>
              </w:rPr>
            </w:pPr>
            <w:r>
              <w:rPr>
                <w:rFonts w:ascii="仿宋" w:hAnsi="仿宋" w:eastAsia="仿宋" w:cs="Times New Roman"/>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748" w:type="dxa"/>
            <w:tcBorders>
              <w:top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.1.2</w:t>
            </w:r>
          </w:p>
        </w:tc>
        <w:tc>
          <w:tcPr>
            <w:tcW w:w="1578" w:type="dxa"/>
            <w:tcBorders>
              <w:top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资格评审标准</w:t>
            </w: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营业执照</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ascii="仿宋" w:hAnsi="仿宋" w:eastAsia="仿宋" w:cs="Times New Roman"/>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restart"/>
            <w:tcBorders>
              <w:top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.1.3</w:t>
            </w:r>
          </w:p>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p>
        </w:tc>
        <w:tc>
          <w:tcPr>
            <w:tcW w:w="1578" w:type="dxa"/>
            <w:vMerge w:val="restart"/>
            <w:tcBorders>
              <w:top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r>
              <w:rPr>
                <w:rFonts w:ascii="仿宋" w:hAnsi="仿宋" w:eastAsia="仿宋" w:cs="Times New Roman"/>
                <w:sz w:val="21"/>
                <w:szCs w:val="21"/>
              </w:rPr>
              <w:t>响应性</w:t>
            </w:r>
          </w:p>
          <w:p>
            <w:pPr>
              <w:spacing w:line="276" w:lineRule="auto"/>
              <w:jc w:val="center"/>
              <w:rPr>
                <w:rFonts w:ascii="仿宋" w:hAnsi="仿宋" w:eastAsia="仿宋" w:cs="Times New Roman"/>
                <w:sz w:val="21"/>
                <w:szCs w:val="21"/>
              </w:rPr>
            </w:pPr>
            <w:r>
              <w:rPr>
                <w:rFonts w:ascii="仿宋" w:hAnsi="仿宋" w:eastAsia="仿宋" w:cs="Times New Roman"/>
                <w:sz w:val="21"/>
                <w:szCs w:val="21"/>
              </w:rPr>
              <w:t>评审</w:t>
            </w:r>
          </w:p>
          <w:p>
            <w:pPr>
              <w:spacing w:line="276" w:lineRule="auto"/>
              <w:jc w:val="center"/>
              <w:rPr>
                <w:rFonts w:ascii="仿宋" w:hAnsi="仿宋" w:eastAsia="仿宋" w:cs="Times New Roman"/>
                <w:sz w:val="21"/>
                <w:szCs w:val="21"/>
              </w:rPr>
            </w:pPr>
            <w:r>
              <w:rPr>
                <w:rFonts w:ascii="仿宋" w:hAnsi="仿宋" w:eastAsia="仿宋" w:cs="Times New Roman"/>
                <w:sz w:val="21"/>
                <w:szCs w:val="21"/>
              </w:rPr>
              <w:t>标准</w:t>
            </w:r>
          </w:p>
          <w:p>
            <w:pPr>
              <w:spacing w:line="276" w:lineRule="auto"/>
              <w:jc w:val="center"/>
              <w:rPr>
                <w:rFonts w:ascii="仿宋" w:hAnsi="仿宋" w:eastAsia="仿宋" w:cs="Times New Roman"/>
                <w:sz w:val="21"/>
                <w:szCs w:val="21"/>
              </w:rPr>
            </w:pPr>
          </w:p>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投标报价</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hint="eastAsia" w:ascii="仿宋" w:hAnsi="仿宋" w:eastAsia="仿宋" w:cs="Times New Roman"/>
                <w:sz w:val="21"/>
                <w:szCs w:val="21"/>
              </w:rPr>
              <w:t>凡超出招标控制价范围的，将作为废标处理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投标内容</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hint="eastAsia" w:ascii="仿宋" w:hAnsi="仿宋" w:eastAsia="仿宋" w:cs="Times New Roman"/>
                <w:sz w:val="21"/>
                <w:szCs w:val="21"/>
              </w:rPr>
              <w:t>公告中的全部内容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服务期限</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hint="eastAsia" w:ascii="仿宋" w:hAnsi="仿宋" w:eastAsia="仿宋" w:cs="Times New Roman"/>
                <w:sz w:val="21"/>
                <w:szCs w:val="21"/>
              </w:rPr>
              <w:t>从初步设计阶段至竣工验收合格之日止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工程质量</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hint="eastAsia" w:ascii="仿宋" w:hAnsi="仿宋" w:eastAsia="仿宋" w:cs="Times New Roman"/>
                <w:sz w:val="21"/>
                <w:szCs w:val="21"/>
              </w:rPr>
              <w:t>达到国家现行施工验收规范合格标准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投标有效期</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hint="eastAsia" w:ascii="仿宋" w:hAnsi="仿宋" w:eastAsia="仿宋" w:cs="Times New Roman"/>
                <w:sz w:val="21"/>
                <w:szCs w:val="21"/>
              </w:rPr>
              <w:t>60天（从投标截止之日算起）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ascii="仿宋" w:hAnsi="仿宋" w:eastAsia="仿宋" w:cs="Times New Roman"/>
                <w:sz w:val="21"/>
                <w:szCs w:val="21"/>
              </w:rPr>
              <w:t>权利义务</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Times New Roman"/>
                <w:sz w:val="21"/>
                <w:szCs w:val="21"/>
              </w:rPr>
            </w:pPr>
            <w:r>
              <w:rPr>
                <w:rFonts w:ascii="仿宋" w:hAnsi="仿宋" w:eastAsia="仿宋" w:cs="Times New Roman"/>
                <w:sz w:val="21"/>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74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r>
              <w:rPr>
                <w:rFonts w:hint="eastAsia" w:ascii="仿宋" w:hAnsi="仿宋" w:eastAsia="仿宋" w:cs="Times New Roman"/>
                <w:sz w:val="21"/>
                <w:szCs w:val="21"/>
              </w:rPr>
              <w:t>技术标准和要求</w:t>
            </w:r>
          </w:p>
        </w:tc>
        <w:tc>
          <w:tcPr>
            <w:tcW w:w="4695" w:type="dxa"/>
            <w:tcBorders>
              <w:top w:val="single" w:color="auto" w:sz="4" w:space="0"/>
              <w:left w:val="single" w:color="auto" w:sz="4" w:space="0"/>
              <w:right w:val="single" w:color="auto" w:sz="4" w:space="0"/>
            </w:tcBorders>
            <w:vAlign w:val="center"/>
          </w:tcPr>
          <w:p>
            <w:pPr>
              <w:spacing w:line="276" w:lineRule="auto"/>
              <w:rPr>
                <w:rFonts w:ascii="仿宋" w:hAnsi="仿宋" w:eastAsia="仿宋" w:cs="Times New Roman"/>
                <w:sz w:val="21"/>
                <w:szCs w:val="21"/>
              </w:rPr>
            </w:pPr>
            <w:r>
              <w:rPr>
                <w:rFonts w:hint="eastAsia" w:ascii="仿宋" w:hAnsi="仿宋" w:eastAsia="仿宋" w:cs="Times New Roman"/>
                <w:sz w:val="21"/>
                <w:szCs w:val="21"/>
              </w:rPr>
              <w:t>符合国家现行技术标准和要求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exact"/>
          <w:jc w:val="center"/>
        </w:trPr>
        <w:tc>
          <w:tcPr>
            <w:tcW w:w="748" w:type="dxa"/>
            <w:vMerge w:val="continue"/>
            <w:tcBorders>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1578" w:type="dxa"/>
            <w:vMerge w:val="continue"/>
            <w:tcBorders>
              <w:bottom w:val="single" w:color="auto" w:sz="4" w:space="0"/>
              <w:right w:val="single" w:color="auto" w:sz="4" w:space="0"/>
            </w:tcBorders>
            <w:vAlign w:val="center"/>
          </w:tcPr>
          <w:p>
            <w:pPr>
              <w:spacing w:line="276" w:lineRule="auto"/>
              <w:jc w:val="center"/>
              <w:rPr>
                <w:rFonts w:ascii="仿宋" w:hAnsi="仿宋" w:eastAsia="仿宋" w:cs="Times New Roman"/>
                <w:sz w:val="21"/>
                <w:szCs w:val="21"/>
              </w:rPr>
            </w:pPr>
          </w:p>
        </w:tc>
        <w:tc>
          <w:tcPr>
            <w:tcW w:w="2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1"/>
                <w:szCs w:val="21"/>
              </w:rPr>
            </w:pPr>
            <w:r>
              <w:rPr>
                <w:rFonts w:hint="eastAsia" w:ascii="仿宋" w:hAnsi="仿宋" w:eastAsia="仿宋" w:cs="Times New Roman"/>
                <w:sz w:val="21"/>
                <w:szCs w:val="21"/>
              </w:rPr>
              <w:t>服务方案</w:t>
            </w:r>
          </w:p>
        </w:tc>
        <w:tc>
          <w:tcPr>
            <w:tcW w:w="4695" w:type="dxa"/>
            <w:tcBorders>
              <w:top w:val="single" w:color="auto" w:sz="4" w:space="0"/>
              <w:left w:val="single" w:color="auto" w:sz="4" w:space="0"/>
              <w:right w:val="single" w:color="auto" w:sz="4" w:space="0"/>
            </w:tcBorders>
            <w:vAlign w:val="center"/>
          </w:tcPr>
          <w:p>
            <w:pPr>
              <w:rPr>
                <w:rFonts w:ascii="仿宋" w:hAnsi="仿宋" w:eastAsia="仿宋" w:cs="Times New Roman"/>
                <w:sz w:val="21"/>
                <w:szCs w:val="21"/>
              </w:rPr>
            </w:pPr>
            <w:r>
              <w:rPr>
                <w:rFonts w:hint="eastAsia" w:ascii="仿宋" w:hAnsi="仿宋" w:eastAsia="仿宋" w:cs="Times New Roman"/>
                <w:sz w:val="21"/>
                <w:szCs w:val="21"/>
              </w:rPr>
              <w:t>有服务方案</w:t>
            </w:r>
          </w:p>
        </w:tc>
      </w:tr>
    </w:tbl>
    <w:p>
      <w:pPr>
        <w:rPr>
          <w:rFonts w:ascii="仿宋" w:hAnsi="仿宋" w:eastAsia="仿宋"/>
          <w:sz w:val="24"/>
          <w:szCs w:val="24"/>
        </w:rPr>
      </w:pPr>
    </w:p>
    <w:tbl>
      <w:tblPr>
        <w:tblStyle w:val="47"/>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39"/>
        <w:gridCol w:w="851"/>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75"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b/>
                <w:sz w:val="18"/>
                <w:szCs w:val="18"/>
              </w:rPr>
            </w:pPr>
            <w:r>
              <w:rPr>
                <w:rFonts w:hint="eastAsia" w:ascii="仿宋" w:hAnsi="仿宋" w:eastAsia="仿宋" w:cs="Times New Roman"/>
                <w:b/>
                <w:sz w:val="18"/>
                <w:szCs w:val="18"/>
              </w:rPr>
              <w:t>条款号</w:t>
            </w:r>
          </w:p>
        </w:tc>
        <w:tc>
          <w:tcPr>
            <w:tcW w:w="1439"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b/>
                <w:sz w:val="18"/>
                <w:szCs w:val="18"/>
              </w:rPr>
            </w:pPr>
            <w:r>
              <w:rPr>
                <w:rFonts w:hint="eastAsia" w:ascii="仿宋" w:hAnsi="仿宋" w:eastAsia="仿宋" w:cs="Times New Roman"/>
                <w:b/>
                <w:sz w:val="18"/>
                <w:szCs w:val="18"/>
              </w:rPr>
              <w:t>评审因素</w:t>
            </w:r>
          </w:p>
        </w:tc>
        <w:tc>
          <w:tcPr>
            <w:tcW w:w="851"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b/>
                <w:sz w:val="18"/>
                <w:szCs w:val="18"/>
              </w:rPr>
            </w:pPr>
            <w:r>
              <w:rPr>
                <w:rFonts w:hint="eastAsia" w:ascii="仿宋" w:hAnsi="仿宋" w:eastAsia="仿宋" w:cs="Times New Roman"/>
                <w:b/>
                <w:sz w:val="18"/>
                <w:szCs w:val="18"/>
              </w:rPr>
              <w:t>分值</w:t>
            </w:r>
          </w:p>
        </w:tc>
        <w:tc>
          <w:tcPr>
            <w:tcW w:w="668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b/>
                <w:sz w:val="18"/>
                <w:szCs w:val="18"/>
              </w:rPr>
            </w:pPr>
            <w:r>
              <w:rPr>
                <w:rFonts w:hint="eastAsia" w:ascii="仿宋" w:hAnsi="仿宋" w:eastAsia="仿宋" w:cs="Times New Roman"/>
                <w:b/>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5" w:type="dxa"/>
            <w:vMerge w:val="restart"/>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3.1.4商务标分值30分</w:t>
            </w:r>
          </w:p>
        </w:tc>
        <w:tc>
          <w:tcPr>
            <w:tcW w:w="1439"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kern w:val="24"/>
                <w:sz w:val="18"/>
                <w:szCs w:val="18"/>
              </w:rPr>
            </w:pPr>
            <w:r>
              <w:rPr>
                <w:rFonts w:hint="eastAsia" w:ascii="仿宋" w:hAnsi="仿宋" w:eastAsia="仿宋" w:cs="Times New Roman"/>
                <w:kern w:val="24"/>
                <w:sz w:val="18"/>
                <w:szCs w:val="18"/>
              </w:rPr>
              <w:t>企业业绩</w:t>
            </w:r>
          </w:p>
        </w:tc>
        <w:tc>
          <w:tcPr>
            <w:tcW w:w="851" w:type="dxa"/>
            <w:tcBorders>
              <w:top w:val="single" w:color="auto" w:sz="4" w:space="0"/>
              <w:left w:val="single" w:color="auto" w:sz="4" w:space="0"/>
              <w:right w:val="single" w:color="auto" w:sz="4" w:space="0"/>
            </w:tcBorders>
            <w:vAlign w:val="center"/>
          </w:tcPr>
          <w:p>
            <w:pPr>
              <w:spacing w:line="320" w:lineRule="exact"/>
              <w:ind w:firstLine="90" w:firstLineChars="50"/>
              <w:rPr>
                <w:rFonts w:ascii="仿宋" w:hAnsi="仿宋" w:eastAsia="仿宋" w:cs="Times New Roman"/>
                <w:kern w:val="24"/>
                <w:sz w:val="18"/>
                <w:szCs w:val="18"/>
              </w:rPr>
            </w:pPr>
            <w:r>
              <w:rPr>
                <w:rFonts w:hint="eastAsia" w:ascii="仿宋" w:hAnsi="仿宋" w:eastAsia="仿宋" w:cs="Times New Roman"/>
                <w:kern w:val="24"/>
                <w:sz w:val="18"/>
                <w:szCs w:val="18"/>
              </w:rPr>
              <w:t>10分</w:t>
            </w:r>
          </w:p>
        </w:tc>
        <w:tc>
          <w:tcPr>
            <w:tcW w:w="6680"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kern w:val="24"/>
                <w:sz w:val="18"/>
                <w:szCs w:val="18"/>
              </w:rPr>
            </w:pPr>
            <w:r>
              <w:rPr>
                <w:rFonts w:hint="eastAsia" w:ascii="仿宋" w:hAnsi="仿宋" w:eastAsia="仿宋" w:cs="Times New Roman"/>
                <w:kern w:val="24"/>
                <w:sz w:val="18"/>
                <w:szCs w:val="18"/>
              </w:rPr>
              <w:t>投标人近三年（投标截止日前36个月）有二项类似项目业绩得2分，</w:t>
            </w:r>
            <w:r>
              <w:rPr>
                <w:rFonts w:hint="eastAsia" w:ascii="仿宋" w:hAnsi="仿宋" w:eastAsia="仿宋" w:cs="Times New Roman"/>
                <w:sz w:val="18"/>
                <w:szCs w:val="18"/>
              </w:rPr>
              <w:t>具有类似项目每多一个加2分，最多得10分。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项目负责人</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680"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cs="Times New Roman"/>
                <w:sz w:val="18"/>
                <w:szCs w:val="18"/>
              </w:rPr>
              <w:t>项目负责人</w:t>
            </w:r>
            <w:r>
              <w:rPr>
                <w:rFonts w:hint="eastAsia" w:ascii="仿宋" w:hAnsi="仿宋" w:eastAsia="仿宋" w:cs="Times New Roman"/>
                <w:kern w:val="24"/>
                <w:sz w:val="18"/>
                <w:szCs w:val="18"/>
              </w:rPr>
              <w:t>近三年（投标截止日前36个月）</w:t>
            </w:r>
            <w:r>
              <w:rPr>
                <w:rFonts w:hint="eastAsia" w:ascii="仿宋" w:hAnsi="仿宋" w:eastAsia="仿宋" w:cs="Times New Roman"/>
                <w:sz w:val="18"/>
                <w:szCs w:val="18"/>
              </w:rPr>
              <w:t>有二项类似项目业绩得2分，具有类似项目每多一个加2分，最多得5分。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top w:val="single" w:color="auto" w:sz="4" w:space="0"/>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主要人员配备</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680" w:type="dxa"/>
            <w:tcBorders>
              <w:top w:val="single" w:color="auto" w:sz="4" w:space="0"/>
              <w:left w:val="single" w:color="auto" w:sz="4" w:space="0"/>
              <w:right w:val="single" w:color="auto" w:sz="4" w:space="0"/>
            </w:tcBorders>
          </w:tcPr>
          <w:p>
            <w:pPr>
              <w:spacing w:after="0" w:line="360" w:lineRule="auto"/>
              <w:rPr>
                <w:rFonts w:ascii="仿宋" w:hAnsi="仿宋" w:eastAsia="仿宋" w:cs="宋体"/>
                <w:sz w:val="18"/>
                <w:szCs w:val="18"/>
              </w:rPr>
            </w:pPr>
            <w:r>
              <w:rPr>
                <w:rFonts w:hint="eastAsia" w:ascii="仿宋" w:hAnsi="仿宋" w:eastAsia="仿宋" w:cs="宋体"/>
                <w:sz w:val="18"/>
                <w:szCs w:val="18"/>
              </w:rPr>
              <w:t>拟投入人员人数及专业配置合理，视情况得0-2分</w:t>
            </w:r>
          </w:p>
          <w:p>
            <w:pPr>
              <w:spacing w:after="0" w:line="360" w:lineRule="auto"/>
              <w:rPr>
                <w:rFonts w:ascii="仿宋" w:hAnsi="仿宋" w:eastAsia="仿宋" w:cs="Times New Roman"/>
                <w:sz w:val="18"/>
                <w:szCs w:val="18"/>
              </w:rPr>
            </w:pPr>
            <w:r>
              <w:rPr>
                <w:rFonts w:hint="eastAsia" w:ascii="仿宋" w:hAnsi="仿宋" w:eastAsia="仿宋" w:cs="宋体"/>
                <w:sz w:val="18"/>
                <w:szCs w:val="18"/>
              </w:rPr>
              <w:t>持有国家相关执业资格证书者，每人得0.5分，最多得4分</w:t>
            </w:r>
          </w:p>
          <w:p>
            <w:pPr>
              <w:spacing w:after="0" w:line="360" w:lineRule="auto"/>
              <w:rPr>
                <w:rFonts w:ascii="仿宋" w:hAnsi="仿宋" w:eastAsia="仿宋" w:cs="Times New Roman"/>
                <w:sz w:val="18"/>
                <w:szCs w:val="18"/>
              </w:rPr>
            </w:pPr>
            <w:r>
              <w:rPr>
                <w:rFonts w:hint="eastAsia" w:ascii="仿宋" w:hAnsi="仿宋" w:eastAsia="仿宋" w:cs="宋体"/>
                <w:sz w:val="18"/>
                <w:szCs w:val="18"/>
              </w:rPr>
              <w:t>有高级职称者每人得</w:t>
            </w:r>
            <w:r>
              <w:rPr>
                <w:rFonts w:ascii="仿宋" w:hAnsi="仿宋" w:eastAsia="仿宋" w:cs="宋体"/>
                <w:sz w:val="18"/>
                <w:szCs w:val="18"/>
              </w:rPr>
              <w:t>1</w:t>
            </w:r>
            <w:r>
              <w:rPr>
                <w:rFonts w:hint="eastAsia" w:ascii="仿宋" w:hAnsi="仿宋" w:eastAsia="仿宋" w:cs="宋体"/>
                <w:sz w:val="18"/>
                <w:szCs w:val="18"/>
              </w:rPr>
              <w:t>分，最多得</w:t>
            </w:r>
            <w:r>
              <w:rPr>
                <w:rFonts w:ascii="仿宋" w:hAnsi="仿宋" w:eastAsia="仿宋" w:cs="宋体"/>
                <w:sz w:val="18"/>
                <w:szCs w:val="18"/>
              </w:rPr>
              <w:t>2</w:t>
            </w:r>
            <w:r>
              <w:rPr>
                <w:rFonts w:hint="eastAsia" w:ascii="仿宋" w:hAnsi="仿宋" w:eastAsia="仿宋" w:cs="宋体"/>
                <w:sz w:val="18"/>
                <w:szCs w:val="18"/>
              </w:rPr>
              <w:t>分</w:t>
            </w:r>
          </w:p>
          <w:p>
            <w:pPr>
              <w:spacing w:after="0" w:line="360" w:lineRule="auto"/>
              <w:rPr>
                <w:rFonts w:ascii="仿宋" w:hAnsi="仿宋" w:eastAsia="仿宋" w:cs="Times New Roman"/>
                <w:sz w:val="18"/>
                <w:szCs w:val="18"/>
              </w:rPr>
            </w:pPr>
            <w:r>
              <w:rPr>
                <w:rFonts w:hint="eastAsia" w:ascii="仿宋" w:hAnsi="仿宋" w:eastAsia="仿宋" w:cs="宋体"/>
                <w:sz w:val="18"/>
                <w:szCs w:val="18"/>
              </w:rPr>
              <w:t>中级职称证书者每人得</w:t>
            </w:r>
            <w:r>
              <w:rPr>
                <w:rFonts w:ascii="仿宋" w:hAnsi="仿宋" w:eastAsia="仿宋" w:cs="宋体"/>
                <w:sz w:val="18"/>
                <w:szCs w:val="18"/>
              </w:rPr>
              <w:t>0.5</w:t>
            </w:r>
            <w:r>
              <w:rPr>
                <w:rFonts w:hint="eastAsia" w:ascii="仿宋" w:hAnsi="仿宋" w:eastAsia="仿宋" w:cs="宋体"/>
                <w:sz w:val="18"/>
                <w:szCs w:val="18"/>
              </w:rPr>
              <w:t>分，最多得</w:t>
            </w:r>
            <w:r>
              <w:rPr>
                <w:rFonts w:ascii="仿宋" w:hAnsi="仿宋" w:eastAsia="仿宋" w:cs="宋体"/>
                <w:sz w:val="18"/>
                <w:szCs w:val="18"/>
              </w:rPr>
              <w:t>2</w:t>
            </w:r>
            <w:r>
              <w:rPr>
                <w:rFonts w:hint="eastAsia" w:ascii="仿宋" w:hAnsi="仿宋" w:eastAsia="仿宋" w:cs="宋体"/>
                <w:sz w:val="18"/>
                <w:szCs w:val="18"/>
              </w:rPr>
              <w:t>分</w:t>
            </w:r>
          </w:p>
          <w:p>
            <w:pPr>
              <w:spacing w:after="0" w:line="360" w:lineRule="auto"/>
              <w:rPr>
                <w:rFonts w:ascii="仿宋" w:hAnsi="仿宋" w:eastAsia="仿宋" w:cs="Times New Roman"/>
                <w:sz w:val="18"/>
                <w:szCs w:val="18"/>
              </w:rPr>
            </w:pPr>
            <w:r>
              <w:rPr>
                <w:rFonts w:hint="eastAsia" w:ascii="仿宋" w:hAnsi="仿宋" w:eastAsia="仿宋" w:cs="宋体"/>
                <w:sz w:val="18"/>
                <w:szCs w:val="18"/>
              </w:rPr>
              <w:t>（以上人员同时持有者不重复计分）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top w:val="single" w:color="auto" w:sz="4" w:space="0"/>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企业综合实力</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680"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宋体"/>
                <w:sz w:val="18"/>
                <w:szCs w:val="18"/>
              </w:rPr>
            </w:pPr>
            <w:r>
              <w:rPr>
                <w:rFonts w:hint="eastAsia" w:ascii="仿宋" w:hAnsi="仿宋" w:eastAsia="仿宋" w:cs="宋体"/>
                <w:sz w:val="18"/>
                <w:szCs w:val="18"/>
              </w:rPr>
              <w:t>企业综合实力强，具有索道专业的相关资质，且有较强的</w:t>
            </w:r>
            <w:r>
              <w:rPr>
                <w:rFonts w:hint="eastAsia" w:ascii="仿宋" w:hAnsi="仿宋" w:eastAsia="仿宋" w:cs="Times New Roman"/>
                <w:sz w:val="18"/>
                <w:szCs w:val="18"/>
              </w:rPr>
              <w:t>索道技术指导服务</w:t>
            </w:r>
            <w:r>
              <w:rPr>
                <w:rFonts w:hint="eastAsia" w:ascii="仿宋" w:hAnsi="仿宋" w:eastAsia="仿宋" w:cs="宋体"/>
                <w:sz w:val="18"/>
                <w:szCs w:val="18"/>
              </w:rPr>
              <w:t>能力的，优秀得5分，良好得3分，一般得1分。（</w:t>
            </w:r>
            <w:r>
              <w:rPr>
                <w:rFonts w:hint="eastAsia" w:ascii="仿宋" w:hAnsi="仿宋" w:eastAsia="仿宋" w:cs="Times New Roman"/>
                <w:sz w:val="18"/>
                <w:szCs w:val="18"/>
              </w:rPr>
              <w:t>索道技术指导服务</w:t>
            </w:r>
            <w:r>
              <w:rPr>
                <w:rFonts w:ascii="仿宋" w:hAnsi="仿宋" w:eastAsia="仿宋" w:cs="宋体"/>
                <w:sz w:val="18"/>
                <w:szCs w:val="18"/>
              </w:rPr>
              <w:t>通过</w:t>
            </w:r>
            <w:r>
              <w:rPr>
                <w:rFonts w:hint="eastAsia" w:ascii="仿宋" w:hAnsi="仿宋" w:eastAsia="仿宋" w:cs="宋体"/>
                <w:sz w:val="18"/>
                <w:szCs w:val="18"/>
              </w:rPr>
              <w:t>业绩证明材料体现）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75" w:type="dxa"/>
            <w:vMerge w:val="restart"/>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 xml:space="preserve"> 3.1.5</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技术标分值</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w:t>
            </w:r>
            <w:r>
              <w:rPr>
                <w:rFonts w:ascii="仿宋" w:hAnsi="仿宋" w:eastAsia="仿宋" w:cs="Times New Roman"/>
                <w:sz w:val="18"/>
                <w:szCs w:val="18"/>
              </w:rPr>
              <w:t>0</w:t>
            </w:r>
            <w:r>
              <w:rPr>
                <w:rFonts w:hint="eastAsia" w:ascii="仿宋" w:hAnsi="仿宋" w:eastAsia="仿宋" w:cs="Times New Roman"/>
                <w:sz w:val="18"/>
                <w:szCs w:val="18"/>
              </w:rPr>
              <w:t>分</w:t>
            </w:r>
          </w:p>
        </w:tc>
        <w:tc>
          <w:tcPr>
            <w:tcW w:w="1439"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总体安排或总纲</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680"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按针对性、科学合理性、完整性酌情打分，0-10分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人员安排</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680"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按人员安排科学合理程度酌情打分，0-10分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top w:val="single" w:color="auto" w:sz="4" w:space="0"/>
              <w:left w:val="single" w:color="auto" w:sz="4" w:space="0"/>
              <w:right w:val="single" w:color="auto" w:sz="4" w:space="0"/>
            </w:tcBorders>
            <w:vAlign w:val="center"/>
          </w:tcPr>
          <w:p>
            <w:pPr>
              <w:jc w:val="center"/>
              <w:rPr>
                <w:rFonts w:ascii="仿宋" w:hAnsi="仿宋" w:eastAsia="仿宋" w:cs="Times New Roman"/>
                <w:sz w:val="18"/>
                <w:szCs w:val="18"/>
              </w:rPr>
            </w:pPr>
            <w:r>
              <w:rPr>
                <w:rFonts w:hint="eastAsia" w:ascii="仿宋" w:hAnsi="仿宋" w:eastAsia="仿宋" w:cs="Times New Roman"/>
                <w:sz w:val="18"/>
                <w:szCs w:val="18"/>
              </w:rPr>
              <w:t>内部管理</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680"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按内部管理科学合理程度酌情打分，0-10分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工作流程设计</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680"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按工作流程设计合理性酌情打分0-10分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439" w:type="dxa"/>
            <w:tcBorders>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建设期间与各单位的配合服务安排及措施</w:t>
            </w:r>
          </w:p>
        </w:tc>
        <w:tc>
          <w:tcPr>
            <w:tcW w:w="851"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680"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按其措施合理性酌情打分，0-10分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3.1.6投标报价</w:t>
            </w:r>
            <w:r>
              <w:rPr>
                <w:rFonts w:ascii="仿宋" w:hAnsi="仿宋" w:eastAsia="仿宋" w:cs="Times New Roman"/>
                <w:sz w:val="18"/>
                <w:szCs w:val="18"/>
              </w:rPr>
              <w:br w:type="textWrapping"/>
            </w:r>
            <w:r>
              <w:rPr>
                <w:rFonts w:hint="eastAsia" w:ascii="仿宋" w:hAnsi="仿宋" w:eastAsia="仿宋" w:cs="Times New Roman"/>
                <w:sz w:val="18"/>
                <w:szCs w:val="18"/>
              </w:rPr>
              <w:t>分值20分</w:t>
            </w:r>
          </w:p>
        </w:tc>
        <w:tc>
          <w:tcPr>
            <w:tcW w:w="7531"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仿宋" w:hAnsi="仿宋" w:eastAsia="仿宋" w:cs="Times New Roman"/>
                <w:sz w:val="18"/>
                <w:szCs w:val="18"/>
              </w:rPr>
            </w:pPr>
            <w:r>
              <w:rPr>
                <w:rFonts w:hint="eastAsia" w:ascii="仿宋" w:hAnsi="仿宋" w:eastAsia="仿宋" w:cs="Times New Roman"/>
                <w:sz w:val="18"/>
                <w:szCs w:val="18"/>
              </w:rPr>
              <w:t>满足磋商文件要求且最后报价最低的供应商的价格为磋商基准价。</w:t>
            </w:r>
          </w:p>
          <w:p>
            <w:pPr>
              <w:spacing w:after="0" w:line="240" w:lineRule="exact"/>
              <w:rPr>
                <w:rFonts w:ascii="仿宋" w:hAnsi="仿宋" w:eastAsia="仿宋" w:cs="Times New Roman"/>
                <w:sz w:val="18"/>
                <w:szCs w:val="18"/>
              </w:rPr>
            </w:pPr>
          </w:p>
          <w:p>
            <w:pPr>
              <w:spacing w:after="0" w:line="240" w:lineRule="exact"/>
              <w:rPr>
                <w:rFonts w:ascii="仿宋" w:hAnsi="仿宋" w:eastAsia="仿宋" w:cs="Times New Roman"/>
                <w:sz w:val="18"/>
                <w:szCs w:val="18"/>
              </w:rPr>
            </w:pPr>
            <w:r>
              <w:rPr>
                <w:rFonts w:hint="eastAsia" w:ascii="仿宋" w:hAnsi="仿宋" w:eastAsia="仿宋" w:cs="Times New Roman"/>
                <w:sz w:val="18"/>
                <w:szCs w:val="18"/>
              </w:rPr>
              <w:t>注：以上“有效投标报价”是指经磋商后的最终报价，非投标函中的报价。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64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Arial"/>
                <w:sz w:val="24"/>
              </w:rPr>
              <w:t>招标文件技术标准及要求中要求的要求中标“★”为不允许偏离项，偏离即作废标处理</w:t>
            </w:r>
          </w:p>
        </w:tc>
      </w:tr>
    </w:tbl>
    <w:p>
      <w:pPr>
        <w:rPr>
          <w:rFonts w:ascii="仿宋" w:hAnsi="仿宋" w:eastAsia="仿宋"/>
          <w:sz w:val="24"/>
          <w:szCs w:val="24"/>
        </w:rPr>
      </w:pPr>
    </w:p>
    <w:p>
      <w:pPr>
        <w:rPr>
          <w:rFonts w:ascii="仿宋" w:hAnsi="仿宋" w:eastAsia="仿宋"/>
          <w:bCs/>
          <w:sz w:val="24"/>
          <w:szCs w:val="24"/>
        </w:rPr>
      </w:pPr>
      <w:r>
        <w:rPr>
          <w:rFonts w:hint="eastAsia" w:ascii="仿宋" w:hAnsi="仿宋" w:eastAsia="仿宋"/>
          <w:sz w:val="24"/>
          <w:szCs w:val="24"/>
        </w:rPr>
        <w:t>1.</w:t>
      </w:r>
      <w:r>
        <w:rPr>
          <w:rFonts w:ascii="仿宋" w:hAnsi="仿宋" w:eastAsia="仿宋"/>
          <w:sz w:val="24"/>
          <w:szCs w:val="24"/>
        </w:rPr>
        <w:t>评标方法</w:t>
      </w:r>
      <w:bookmarkEnd w:id="9"/>
      <w:bookmarkEnd w:id="10"/>
      <w:bookmarkEnd w:id="11"/>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根</w:t>
      </w:r>
      <w:r>
        <w:rPr>
          <w:rFonts w:hint="eastAsia" w:ascii="仿宋" w:hAnsi="仿宋" w:eastAsia="仿宋"/>
          <w:sz w:val="24"/>
          <w:szCs w:val="24"/>
        </w:rPr>
        <w:t>据《中华人民共和国招标投标法》、《湖北省招标投标综合管理办法》</w:t>
      </w:r>
      <w:r>
        <w:rPr>
          <w:rFonts w:ascii="仿宋" w:hAnsi="仿宋" w:eastAsia="仿宋" w:cs="Times New Roman"/>
          <w:sz w:val="24"/>
          <w:szCs w:val="24"/>
        </w:rPr>
        <w:t>，结合本工程实际情况，制定本办法。</w:t>
      </w:r>
    </w:p>
    <w:p>
      <w:pPr>
        <w:rPr>
          <w:rFonts w:ascii="仿宋" w:hAnsi="仿宋" w:eastAsia="仿宋"/>
          <w:bCs/>
          <w:sz w:val="24"/>
          <w:szCs w:val="24"/>
        </w:rPr>
      </w:pPr>
      <w:bookmarkStart w:id="12" w:name="_Toc420764375"/>
      <w:bookmarkStart w:id="13" w:name="_Toc420778142"/>
      <w:bookmarkStart w:id="14" w:name="_Toc448855852"/>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1评标组织机构</w:t>
      </w:r>
      <w:bookmarkEnd w:id="12"/>
      <w:bookmarkEnd w:id="13"/>
      <w:bookmarkEnd w:id="14"/>
    </w:p>
    <w:p>
      <w:pPr>
        <w:spacing w:after="0" w:line="360" w:lineRule="auto"/>
        <w:ind w:firstLine="480" w:firstLineChars="200"/>
        <w:jc w:val="both"/>
        <w:rPr>
          <w:rFonts w:ascii="仿宋" w:hAnsi="仿宋" w:eastAsia="仿宋" w:cs="宋体"/>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宋体"/>
          <w:sz w:val="24"/>
          <w:szCs w:val="24"/>
        </w:rPr>
        <w:t>本次评标由依法组建的</w:t>
      </w:r>
      <w:r>
        <w:rPr>
          <w:rFonts w:ascii="仿宋" w:hAnsi="仿宋" w:eastAsia="仿宋" w:cs="宋体"/>
          <w:sz w:val="24"/>
          <w:szCs w:val="24"/>
        </w:rPr>
        <w:t>评标委员会是在</w:t>
      </w:r>
      <w:r>
        <w:rPr>
          <w:rFonts w:hint="eastAsia" w:ascii="仿宋" w:hAnsi="仿宋" w:eastAsia="仿宋" w:cs="宋体"/>
          <w:sz w:val="24"/>
          <w:szCs w:val="24"/>
        </w:rPr>
        <w:t>监督人</w:t>
      </w:r>
      <w:r>
        <w:rPr>
          <w:rFonts w:ascii="仿宋" w:hAnsi="仿宋" w:eastAsia="仿宋" w:cs="宋体"/>
          <w:sz w:val="24"/>
          <w:szCs w:val="24"/>
        </w:rPr>
        <w:t>的监督下</w:t>
      </w:r>
      <w:r>
        <w:rPr>
          <w:rFonts w:hint="eastAsia" w:ascii="仿宋" w:hAnsi="仿宋" w:eastAsia="仿宋" w:cs="宋体"/>
          <w:sz w:val="24"/>
          <w:szCs w:val="24"/>
        </w:rPr>
        <w:t>进行</w:t>
      </w:r>
      <w:r>
        <w:rPr>
          <w:rFonts w:ascii="仿宋" w:hAnsi="仿宋" w:eastAsia="仿宋" w:cs="宋体"/>
          <w:sz w:val="24"/>
          <w:szCs w:val="24"/>
        </w:rPr>
        <w:t>，成员人数为5人以上</w:t>
      </w:r>
      <w:r>
        <w:rPr>
          <w:rFonts w:hint="eastAsia" w:ascii="仿宋" w:hAnsi="仿宋" w:eastAsia="仿宋" w:cs="宋体"/>
          <w:sz w:val="24"/>
          <w:szCs w:val="24"/>
        </w:rPr>
        <w:t>（或5人）</w:t>
      </w:r>
      <w:r>
        <w:rPr>
          <w:rFonts w:ascii="仿宋" w:hAnsi="仿宋" w:eastAsia="仿宋" w:cs="宋体"/>
          <w:sz w:val="24"/>
          <w:szCs w:val="24"/>
        </w:rPr>
        <w:t>的单数，</w:t>
      </w:r>
      <w:r>
        <w:rPr>
          <w:rFonts w:hint="eastAsia" w:ascii="仿宋" w:hAnsi="仿宋" w:eastAsia="仿宋" w:cs="宋体"/>
          <w:sz w:val="24"/>
          <w:szCs w:val="24"/>
        </w:rPr>
        <w:t>由恩旅集团内部资深工程管理人员和财务经济管理人员组成</w:t>
      </w:r>
      <w:r>
        <w:rPr>
          <w:rFonts w:ascii="仿宋" w:hAnsi="仿宋" w:eastAsia="仿宋" w:cs="宋体"/>
          <w:sz w:val="24"/>
          <w:szCs w:val="24"/>
        </w:rPr>
        <w:t>。</w:t>
      </w:r>
    </w:p>
    <w:p>
      <w:pPr>
        <w:autoSpaceDE w:val="0"/>
        <w:autoSpaceDN w:val="0"/>
        <w:spacing w:after="0" w:line="360" w:lineRule="auto"/>
        <w:ind w:right="-109" w:firstLine="480" w:firstLineChars="200"/>
        <w:jc w:val="both"/>
        <w:rPr>
          <w:rFonts w:ascii="仿宋" w:hAnsi="仿宋" w:eastAsia="仿宋" w:cs="MingLiU"/>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1.2</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员会按照</w:t>
      </w:r>
      <w:r>
        <w:rPr>
          <w:rFonts w:hint="eastAsia" w:ascii="仿宋" w:hAnsi="仿宋" w:eastAsia="仿宋" w:cs="MingLiU"/>
          <w:spacing w:val="1"/>
          <w:sz w:val="24"/>
          <w:szCs w:val="24"/>
        </w:rPr>
        <w:t>得分</w:t>
      </w:r>
      <w:r>
        <w:rPr>
          <w:rFonts w:hint="eastAsia" w:ascii="仿宋" w:hAnsi="仿宋" w:eastAsia="仿宋" w:cs="MingLiU"/>
          <w:sz w:val="24"/>
          <w:szCs w:val="24"/>
        </w:rPr>
        <w:t>由高到低的顺序推荐3名中标候选人。</w:t>
      </w:r>
    </w:p>
    <w:p>
      <w:pPr>
        <w:spacing w:after="0" w:line="360" w:lineRule="auto"/>
        <w:ind w:firstLine="482" w:firstLineChars="200"/>
        <w:jc w:val="both"/>
        <w:rPr>
          <w:rFonts w:ascii="仿宋" w:hAnsi="仿宋" w:eastAsia="仿宋" w:cs="宋体"/>
          <w:sz w:val="24"/>
          <w:szCs w:val="24"/>
        </w:rPr>
      </w:pPr>
      <w:r>
        <w:rPr>
          <w:rFonts w:hint="eastAsia" w:ascii="仿宋" w:hAnsi="仿宋" w:eastAsia="仿宋" w:cs="Times New Roman"/>
          <w:spacing w:val="1"/>
          <w:sz w:val="24"/>
          <w:szCs w:val="24"/>
        </w:rPr>
        <w:t>1.1.3</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员会完成评标后，向招标人提交书面评标报告后自动解散。</w:t>
      </w:r>
    </w:p>
    <w:p>
      <w:pPr>
        <w:rPr>
          <w:rFonts w:ascii="仿宋" w:hAnsi="仿宋" w:eastAsia="仿宋"/>
          <w:bCs/>
          <w:sz w:val="24"/>
          <w:szCs w:val="24"/>
        </w:rPr>
      </w:pPr>
      <w:bookmarkStart w:id="15" w:name="_Toc420778143"/>
      <w:bookmarkStart w:id="16" w:name="_Toc448855853"/>
      <w:bookmarkStart w:id="17" w:name="_Toc420764376"/>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2评标原则</w:t>
      </w:r>
      <w:bookmarkEnd w:id="15"/>
      <w:bookmarkEnd w:id="16"/>
      <w:bookmarkEnd w:id="17"/>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sz w:val="24"/>
          <w:szCs w:val="24"/>
        </w:rPr>
        <w:t>遵循</w:t>
      </w:r>
      <w:r>
        <w:rPr>
          <w:rFonts w:hint="eastAsia" w:ascii="仿宋" w:hAnsi="仿宋" w:eastAsia="仿宋" w:cs="Times New Roman"/>
          <w:sz w:val="24"/>
          <w:szCs w:val="24"/>
        </w:rPr>
        <w:t>公平、公正、科学、择优的原则。</w:t>
      </w:r>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(2)依据：</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a</w:t>
      </w:r>
      <w:r>
        <w:rPr>
          <w:rFonts w:hint="eastAsia" w:ascii="仿宋" w:hAnsi="仿宋" w:eastAsia="仿宋" w:cs="Times New Roman"/>
          <w:sz w:val="24"/>
          <w:szCs w:val="24"/>
        </w:rPr>
        <w:t>招标文件及招标人的补充通知；</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b</w:t>
      </w:r>
      <w:r>
        <w:rPr>
          <w:rFonts w:hint="eastAsia" w:ascii="仿宋" w:hAnsi="仿宋" w:eastAsia="仿宋" w:cs="Times New Roman"/>
          <w:sz w:val="24"/>
          <w:szCs w:val="24"/>
        </w:rPr>
        <w:t>有效的投标文件及评标要求澄清的文件；</w:t>
      </w:r>
    </w:p>
    <w:p>
      <w:pPr>
        <w:rPr>
          <w:rFonts w:ascii="仿宋" w:hAnsi="仿宋" w:eastAsia="仿宋"/>
          <w:bCs/>
          <w:sz w:val="24"/>
          <w:szCs w:val="24"/>
        </w:rPr>
      </w:pPr>
      <w:bookmarkStart w:id="18" w:name="_Toc420764377"/>
      <w:bookmarkStart w:id="19" w:name="_Toc420778144"/>
      <w:bookmarkStart w:id="20" w:name="_Toc448855854"/>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3 评标程序</w:t>
      </w:r>
      <w:bookmarkEnd w:id="18"/>
      <w:bookmarkEnd w:id="19"/>
      <w:bookmarkEnd w:id="20"/>
    </w:p>
    <w:p>
      <w:pPr>
        <w:spacing w:after="0" w:line="360" w:lineRule="auto"/>
        <w:ind w:left="1"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评标按两个阶段进行，即初步评审和详细评审。</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(一) 评标准备</w:t>
      </w:r>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评标委员会成员研究招标文件，熟悉评标办法，掌握评标程序、标准和方法，编制供评标使用的相应表格。</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(二)初步评审</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初审</w:t>
      </w:r>
    </w:p>
    <w:p>
      <w:pPr>
        <w:spacing w:after="0" w:line="360" w:lineRule="auto"/>
        <w:ind w:firstLine="480" w:firstLineChars="200"/>
        <w:jc w:val="both"/>
        <w:rPr>
          <w:rFonts w:ascii="仿宋" w:hAnsi="仿宋" w:eastAsia="仿宋" w:cs="Times New Roman"/>
          <w:sz w:val="24"/>
          <w:szCs w:val="24"/>
        </w:rPr>
      </w:pPr>
      <w:r>
        <w:rPr>
          <w:rFonts w:ascii="仿宋" w:hAnsi="仿宋" w:eastAsia="仿宋" w:cs="Times New Roman"/>
          <w:sz w:val="24"/>
          <w:szCs w:val="24"/>
        </w:rPr>
        <w:t>主要依据本条规定对投标文件的商务符合性和技术可靠性进行评审。投标文件应实质上投标招标文件中所有条款和条件，无显著的差异或保留。评标委员应在认真审阅投标文件的基础上，对不具备进入详细评审条件的投标文件应提出相应的依据。</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sz w:val="24"/>
          <w:szCs w:val="24"/>
        </w:rPr>
        <w:t>投标文件符合性检查</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评标委员会应当审查每一投标文件是否对招标文件提出的所有要求和条件作出实质性投标。投标文件有重大偏差的，视为未能对招标文件作出实质性投标。</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所谓重大偏差是指下列情况之一：</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①对投标的工程范围和工作内容有实质性的偏离；</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②投标文件载明的招标项目完成期限超过招标文件规定的期限；</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③对工程质量或使用性能产生不利影响；</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④对合同中规定的双方的权利和义务作实质性修改；</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⑤投标文件附有招标人不能接受的条件；</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⑥不符合招标文件中规定的其它实质性要求。</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(3)无效投标文件</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发包人对有下列情况之一的投标文件，可以拒绝或按无效投标文件处理：</w:t>
      </w:r>
    </w:p>
    <w:p>
      <w:pPr>
        <w:tabs>
          <w:tab w:val="left" w:pos="1040"/>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①有本条(2)</w:t>
      </w:r>
      <w:r>
        <w:rPr>
          <w:rFonts w:ascii="仿宋" w:hAnsi="仿宋" w:eastAsia="仿宋" w:cs="Times New Roman"/>
          <w:sz w:val="24"/>
          <w:szCs w:val="24"/>
        </w:rPr>
        <w:t>款所列重大偏差或保留情况之一的；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②逾期送达的标书；</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③无单位盖章并无法定代表人或法定代表人授权的代理人签字或盖章的；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④投标人的法定代表人或委托代理人不参加开标会议的；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⑤在评标过程中，评标委员会发现投标人以他人名义投标、串通投标、以行贿手段谋取中标或者以弄虚作假方式投标的；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⑥投标人递交两份或多份内容不同的投标文件，或在一份投标文件中对同一招标项目报有两个或多个报价，且未声明哪一个有效，按招标文件规定提交备选投标方案的除外；</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⑦投标人资格条件不符合国家有关规定和招标文件的要求，或拒不按要求对投标文件进行澄清、说明或者补正的。</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投标文件的澄清</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为了有助于对投标文件的检查和评审，评标委员会可以单独要求投标人澄清其投标文件。评标委员会的澄清要求和投标人的答复均应采用书面形式。投标人不得修改投标报价或投标文件中的其它实质性内容。经澄清的问题需由投标人签字确认后作为投标文件的组成部分。</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(5)</w:t>
      </w:r>
      <w:r>
        <w:rPr>
          <w:rFonts w:ascii="仿宋" w:hAnsi="仿宋" w:eastAsia="仿宋" w:cs="Times New Roman"/>
          <w:sz w:val="24"/>
          <w:szCs w:val="24"/>
        </w:rPr>
        <w:t>算术错误的改正</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对实质上符合招标文件要求的投标文件，评标委员会将检查其报价是否有算术错误。对于算术错误，评标委员会有权要求投标人进行改正，改正错误的原则为：</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①《报价表》中任一项目的单价乘其工程量的乘积与该项目的合价不吻合时，应以单价为准，改正合价。但经评标委员会与投标人共同核对后认为单价有明显的小数点错位时，则应以合价为准，改正单价。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③用数字表示的数额与用文字表示的数额不一致时，以文字数额为准。</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评标委员会将按上述规定的原则，要求投标人改正报价中的算术错误，改正后的投标报价汇总表须经评标委员会和投标人共同确认。</w:t>
      </w:r>
    </w:p>
    <w:p>
      <w:pPr>
        <w:rPr>
          <w:rFonts w:ascii="仿宋" w:hAnsi="仿宋" w:eastAsia="仿宋" w:cs="Times New Roman"/>
          <w:sz w:val="24"/>
          <w:szCs w:val="24"/>
        </w:rPr>
      </w:pPr>
      <w:r>
        <w:rPr>
          <w:rFonts w:hint="eastAsia" w:ascii="仿宋" w:hAnsi="仿宋" w:eastAsia="仿宋" w:cs="Times New Roman"/>
          <w:sz w:val="24"/>
          <w:szCs w:val="24"/>
        </w:rPr>
        <w:t>（三）详细评审</w:t>
      </w:r>
    </w:p>
    <w:p>
      <w:pPr>
        <w:overflowPunct w:val="0"/>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（1）</w:t>
      </w:r>
      <w:r>
        <w:rPr>
          <w:rFonts w:hint="eastAsia" w:ascii="仿宋" w:hAnsi="仿宋" w:eastAsia="仿宋" w:cs="Times New Roman"/>
          <w:sz w:val="24"/>
          <w:szCs w:val="24"/>
        </w:rPr>
        <w:t>评标委员会按</w:t>
      </w:r>
      <w:r>
        <w:rPr>
          <w:rFonts w:hint="eastAsia" w:ascii="仿宋" w:hAnsi="仿宋" w:eastAsia="仿宋"/>
          <w:sz w:val="24"/>
          <w:szCs w:val="24"/>
        </w:rPr>
        <w:t>评标办法前附表</w:t>
      </w:r>
      <w:r>
        <w:rPr>
          <w:rFonts w:hint="eastAsia" w:ascii="仿宋" w:hAnsi="仿宋" w:eastAsia="仿宋" w:cs="Times New Roman"/>
          <w:sz w:val="24"/>
          <w:szCs w:val="24"/>
        </w:rPr>
        <w:t>规定的量化因素和分值进行打分，并计算出综合评估得分。</w:t>
      </w:r>
    </w:p>
    <w:p>
      <w:pPr>
        <w:overflowPunct w:val="0"/>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（2）</w:t>
      </w:r>
      <w:r>
        <w:rPr>
          <w:rFonts w:hint="eastAsia" w:ascii="仿宋" w:hAnsi="仿宋" w:eastAsia="仿宋" w:cs="Times New Roman"/>
          <w:sz w:val="24"/>
          <w:szCs w:val="24"/>
        </w:rPr>
        <w:t>评分分值计算保留小数点后两位，小数点后第三位“四舍五入”。</w:t>
      </w:r>
    </w:p>
    <w:p>
      <w:pPr>
        <w:overflowPunct w:val="0"/>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cs="Times New Roman"/>
          <w:sz w:val="24"/>
          <w:szCs w:val="24"/>
        </w:rPr>
        <w:t>每位评委给出的投标人得分，由评标委员根据评标标准的评审指标分别对各投标文件进行记名评分。</w:t>
      </w:r>
    </w:p>
    <w:p>
      <w:pPr>
        <w:overflowPunct w:val="0"/>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（4）</w:t>
      </w:r>
      <w:r>
        <w:rPr>
          <w:rFonts w:hint="eastAsia" w:ascii="仿宋" w:hAnsi="仿宋" w:eastAsia="仿宋" w:cs="Times New Roman"/>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after="0" w:line="360" w:lineRule="auto"/>
        <w:ind w:firstLine="600" w:firstLineChars="250"/>
        <w:jc w:val="both"/>
        <w:rPr>
          <w:rFonts w:ascii="仿宋" w:hAnsi="仿宋" w:eastAsia="仿宋" w:cs="Times New Roman"/>
          <w:sz w:val="24"/>
        </w:rPr>
      </w:pPr>
      <w:r>
        <w:rPr>
          <w:rFonts w:hint="eastAsia" w:ascii="仿宋" w:hAnsi="仿宋" w:eastAsia="仿宋" w:cs="Times New Roman"/>
          <w:sz w:val="24"/>
        </w:rPr>
        <w:t>（5）</w:t>
      </w:r>
      <w:r>
        <w:rPr>
          <w:rFonts w:ascii="仿宋" w:hAnsi="仿宋" w:eastAsia="仿宋" w:cs="Times New Roman"/>
          <w:sz w:val="24"/>
        </w:rPr>
        <w:t>评委</w:t>
      </w:r>
      <w:r>
        <w:rPr>
          <w:rFonts w:hint="eastAsia" w:ascii="仿宋" w:hAnsi="仿宋" w:eastAsia="仿宋" w:cs="Times New Roman"/>
          <w:sz w:val="24"/>
        </w:rPr>
        <w:t>的评分为</w:t>
      </w:r>
      <w:r>
        <w:rPr>
          <w:rFonts w:ascii="仿宋" w:hAnsi="仿宋" w:eastAsia="仿宋" w:cs="Times New Roman"/>
          <w:sz w:val="24"/>
        </w:rPr>
        <w:t>各投标单位的</w:t>
      </w:r>
      <w:r>
        <w:rPr>
          <w:rFonts w:hint="eastAsia" w:ascii="仿宋" w:hAnsi="仿宋" w:eastAsia="仿宋" w:cs="Times New Roman"/>
          <w:sz w:val="24"/>
        </w:rPr>
        <w:t>投标报价、技术评审、综合评审3</w:t>
      </w:r>
      <w:r>
        <w:rPr>
          <w:rFonts w:ascii="仿宋" w:hAnsi="仿宋" w:eastAsia="仿宋" w:cs="Times New Roman"/>
          <w:sz w:val="24"/>
        </w:rPr>
        <w:t>个部分评分之和。投标单位的最终得分为评分的算术平均值（精确到小数点后两位，第三位四舍五入）</w:t>
      </w:r>
      <w:r>
        <w:rPr>
          <w:rFonts w:hint="eastAsia" w:ascii="仿宋" w:hAnsi="仿宋" w:eastAsia="仿宋" w:cs="Times New Roman"/>
          <w:sz w:val="24"/>
        </w:rPr>
        <w:t>。</w:t>
      </w:r>
    </w:p>
    <w:p>
      <w:pPr>
        <w:tabs>
          <w:tab w:val="left" w:pos="832"/>
        </w:tabs>
        <w:spacing w:after="0" w:line="360" w:lineRule="auto"/>
        <w:ind w:firstLine="533" w:firstLineChars="222"/>
        <w:jc w:val="both"/>
        <w:rPr>
          <w:rFonts w:ascii="仿宋" w:hAnsi="仿宋" w:eastAsia="仿宋" w:cs="Times New Roman"/>
          <w:sz w:val="24"/>
        </w:rPr>
      </w:pPr>
      <w:r>
        <w:rPr>
          <w:rFonts w:hint="eastAsia" w:ascii="仿宋" w:hAnsi="仿宋" w:eastAsia="仿宋" w:cs="Times New Roman"/>
          <w:sz w:val="24"/>
        </w:rPr>
        <w:t>（6）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pPr>
        <w:tabs>
          <w:tab w:val="left" w:pos="832"/>
        </w:tabs>
        <w:spacing w:after="0" w:line="360" w:lineRule="auto"/>
        <w:ind w:firstLine="533" w:firstLineChars="222"/>
        <w:jc w:val="both"/>
        <w:rPr>
          <w:rFonts w:ascii="仿宋" w:hAnsi="仿宋" w:eastAsia="仿宋" w:cs="Times New Roman"/>
          <w:sz w:val="24"/>
        </w:rPr>
      </w:pPr>
      <w:r>
        <w:rPr>
          <w:rFonts w:hint="eastAsia" w:ascii="仿宋" w:hAnsi="仿宋" w:eastAsia="仿宋" w:cs="Times New Roman"/>
          <w:sz w:val="24"/>
        </w:rPr>
        <w:t>（6）用于计算的报价数据，应为经过磋商后的最终报价数据。</w:t>
      </w:r>
    </w:p>
    <w:p>
      <w:pPr>
        <w:spacing w:line="220" w:lineRule="atLeast"/>
      </w:pPr>
    </w:p>
    <w:p/>
    <w:p>
      <w:bookmarkStart w:id="21" w:name="_Toc504727590"/>
      <w:bookmarkStart w:id="22" w:name="_Toc467049281"/>
      <w:bookmarkStart w:id="23" w:name="_Toc247085767"/>
      <w:bookmarkStart w:id="24" w:name="_Toc152045609"/>
      <w:bookmarkStart w:id="25" w:name="_Toc246996252"/>
      <w:bookmarkStart w:id="26" w:name="_Toc144974577"/>
      <w:bookmarkStart w:id="27" w:name="_Toc246996995"/>
      <w:bookmarkStart w:id="28" w:name="_Toc511919136"/>
      <w:bookmarkStart w:id="29" w:name="_Toc179632627"/>
      <w:bookmarkStart w:id="30" w:name="_Toc152042387"/>
      <w:bookmarkStart w:id="31" w:name="_Toc112752868"/>
      <w:bookmarkStart w:id="32" w:name="_Toc114916928"/>
      <w:bookmarkStart w:id="33" w:name="_Toc114376971"/>
      <w:bookmarkStart w:id="34" w:name="_Toc234570003"/>
      <w:bookmarkStart w:id="35" w:name="_Toc246996338"/>
      <w:bookmarkStart w:id="36" w:name="_Toc246997081"/>
      <w:bookmarkStart w:id="37" w:name="_Toc247085853"/>
      <w:bookmarkStart w:id="38" w:name="_Toc152042551"/>
      <w:bookmarkStart w:id="39" w:name="_Toc179632787"/>
      <w:bookmarkStart w:id="40" w:name="_Toc58665097"/>
      <w:bookmarkStart w:id="41" w:name="_Toc114371647"/>
      <w:bookmarkStart w:id="42" w:name="_Toc144974831"/>
      <w:bookmarkStart w:id="43" w:name="_Toc114371496"/>
      <w:bookmarkStart w:id="44" w:name="_Toc114375837"/>
      <w:bookmarkStart w:id="45" w:name="_Toc114887874"/>
      <w:bookmarkStart w:id="46" w:name="_Toc114916867"/>
      <w:bookmarkStart w:id="47" w:name="_Toc78098308"/>
      <w:bookmarkStart w:id="48" w:name="_Toc233960811"/>
      <w:bookmarkStart w:id="49" w:name="_Toc170277687"/>
      <w:bookmarkStart w:id="50" w:name="_Toc152045769"/>
    </w:p>
    <w:p/>
    <w:p/>
    <w:p/>
    <w:p/>
    <w:p/>
    <w:p/>
    <w:p/>
    <w:p/>
    <w:p>
      <w:pPr>
        <w:pStyle w:val="2"/>
        <w:rPr>
          <w:rFonts w:ascii="宋体" w:hAnsi="宋体"/>
          <w:sz w:val="28"/>
          <w:szCs w:val="28"/>
        </w:rPr>
      </w:pPr>
      <w:bookmarkStart w:id="51" w:name="_Toc518416746"/>
    </w:p>
    <w:p>
      <w:pPr>
        <w:pStyle w:val="2"/>
        <w:jc w:val="center"/>
        <w:rPr>
          <w:rFonts w:ascii="宋体" w:hAnsi="宋体"/>
          <w:sz w:val="28"/>
          <w:szCs w:val="28"/>
        </w:rPr>
      </w:pPr>
      <w:r>
        <w:rPr>
          <w:rFonts w:hint="eastAsia" w:ascii="宋体" w:hAnsi="宋体"/>
          <w:sz w:val="28"/>
          <w:szCs w:val="28"/>
        </w:rPr>
        <w:t>第四章 合同条款及格式</w:t>
      </w:r>
      <w:bookmarkEnd w:id="21"/>
      <w:bookmarkEnd w:id="22"/>
      <w:bookmarkEnd w:id="23"/>
      <w:bookmarkEnd w:id="24"/>
      <w:bookmarkEnd w:id="25"/>
      <w:bookmarkEnd w:id="26"/>
      <w:bookmarkEnd w:id="27"/>
      <w:bookmarkEnd w:id="28"/>
      <w:bookmarkEnd w:id="29"/>
      <w:bookmarkEnd w:id="30"/>
      <w:bookmarkEnd w:id="51"/>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Pr>
        <w:spacing w:line="500" w:lineRule="exact"/>
        <w:ind w:left="1285" w:hanging="1285" w:hangingChars="400"/>
        <w:jc w:val="center"/>
        <w:rPr>
          <w:rFonts w:ascii="宋体" w:hAnsi="宋体" w:eastAsia="宋体"/>
          <w:b/>
          <w:sz w:val="32"/>
          <w:szCs w:val="32"/>
        </w:rPr>
      </w:pPr>
      <w:bookmarkStart w:id="52" w:name="_Toc511919143"/>
      <w:r>
        <w:rPr>
          <w:rFonts w:hint="eastAsia" w:ascii="宋体" w:hAnsi="宋体" w:eastAsia="宋体"/>
          <w:b/>
          <w:sz w:val="32"/>
          <w:szCs w:val="32"/>
        </w:rPr>
        <w:t>清江红花峡客运索道工程技术指导服务项目协议书</w:t>
      </w:r>
    </w:p>
    <w:p>
      <w:pPr>
        <w:spacing w:line="500" w:lineRule="exact"/>
        <w:ind w:left="960" w:hanging="960" w:hangingChars="400"/>
        <w:rPr>
          <w:rFonts w:ascii="仿宋" w:hAnsi="仿宋" w:eastAsia="仿宋"/>
          <w:sz w:val="24"/>
          <w:szCs w:val="24"/>
        </w:rPr>
      </w:pPr>
      <w:r>
        <w:rPr>
          <w:rFonts w:hint="eastAsia" w:ascii="仿宋" w:hAnsi="仿宋" w:eastAsia="仿宋"/>
          <w:sz w:val="24"/>
          <w:szCs w:val="24"/>
        </w:rPr>
        <w:t>委托方：恩施大清江国际旅游度假区有限公司（以下简称甲方）</w:t>
      </w:r>
    </w:p>
    <w:p>
      <w:pPr>
        <w:spacing w:line="500" w:lineRule="exact"/>
        <w:rPr>
          <w:rFonts w:ascii="仿宋" w:hAnsi="仿宋" w:eastAsia="仿宋"/>
          <w:sz w:val="24"/>
          <w:szCs w:val="24"/>
        </w:rPr>
      </w:pPr>
      <w:r>
        <w:rPr>
          <w:rFonts w:hint="eastAsia" w:ascii="仿宋" w:hAnsi="仿宋" w:eastAsia="仿宋"/>
          <w:sz w:val="24"/>
          <w:szCs w:val="24"/>
        </w:rPr>
        <w:t>受托方：****（以下简称乙方）</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甲方委托乙方对</w:t>
      </w:r>
      <w:r>
        <w:rPr>
          <w:rFonts w:hint="eastAsia" w:ascii="仿宋" w:hAnsi="仿宋" w:eastAsia="仿宋"/>
          <w:sz w:val="24"/>
          <w:szCs w:val="24"/>
          <w:u w:val="single"/>
        </w:rPr>
        <w:t>清江红花峡客运索道工程</w:t>
      </w:r>
      <w:r>
        <w:rPr>
          <w:rFonts w:hint="eastAsia" w:ascii="仿宋" w:hAnsi="仿宋" w:eastAsia="仿宋"/>
          <w:sz w:val="24"/>
          <w:szCs w:val="24"/>
        </w:rPr>
        <w:t>建设的全过程进行技术指导，协助甲方顺利完成此项目，经过双方友好协商签订本协议。</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一、乙方的技术指导内容</w:t>
      </w:r>
    </w:p>
    <w:p>
      <w:pPr>
        <w:spacing w:line="500" w:lineRule="exact"/>
        <w:ind w:firstLine="482" w:firstLineChars="200"/>
        <w:rPr>
          <w:rFonts w:ascii="仿宋" w:hAnsi="仿宋" w:eastAsia="仿宋"/>
          <w:b/>
          <w:sz w:val="24"/>
          <w:szCs w:val="24"/>
        </w:rPr>
      </w:pPr>
      <w:r>
        <w:rPr>
          <w:rFonts w:hint="eastAsia" w:ascii="仿宋" w:hAnsi="仿宋" w:eastAsia="仿宋"/>
          <w:b/>
          <w:sz w:val="24"/>
          <w:szCs w:val="24"/>
        </w:rPr>
        <w:t>（一）初步设计阶段</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1、派遣索道专家协助甲方对索道项目实地进行考察，初步确定索道线路。</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2、协助甲方组织索道项目的初步方案技术论证。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3、协助甲方确定索道项目关键技术指标和要求。</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4、参与项目招标文件（技术部分）的编写工作，以及招标工作的相关事宜。</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5、协助甲方进行项目安装施工合同的签署工作，明确技术指标和质量要求。</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6、协助甲方完成索道设备安装单位的招标及索道站房施工单位的招标。</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7、为了提高设计工作速度和质量，对初步设计的标准符合性、技术完整性进行评估，形成评估意见和建议。</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8、协助甲方顺利完成该项目的设计文件鉴定工作，并使之符合国家规范及相关标准的要求。</w:t>
      </w:r>
    </w:p>
    <w:p>
      <w:pPr>
        <w:spacing w:line="500" w:lineRule="exact"/>
        <w:ind w:firstLine="482" w:firstLineChars="200"/>
        <w:rPr>
          <w:rFonts w:ascii="仿宋" w:hAnsi="仿宋" w:eastAsia="仿宋"/>
          <w:b/>
          <w:sz w:val="24"/>
          <w:szCs w:val="24"/>
        </w:rPr>
      </w:pPr>
      <w:r>
        <w:rPr>
          <w:rFonts w:hint="eastAsia" w:ascii="仿宋" w:hAnsi="仿宋" w:eastAsia="仿宋"/>
          <w:b/>
          <w:sz w:val="24"/>
          <w:szCs w:val="24"/>
        </w:rPr>
        <w:t>（二）建设施工阶段</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1、协助甲方解决安装、调试过程中出现的技术问题。</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2、协助甲方整理安装过程中的重要安全记录文件，使之符合我国客运索道相关规范的要求。</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3、对于索道施工过程中可能出现的设计、制造、安装等相关单位的问题或分歧，帮助甲方进行协调工作。</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4、协助甲方完成项目安装过程中的质量把控。</w:t>
      </w:r>
    </w:p>
    <w:p>
      <w:pPr>
        <w:spacing w:line="500" w:lineRule="exact"/>
        <w:ind w:firstLine="482" w:firstLineChars="200"/>
        <w:rPr>
          <w:rFonts w:ascii="仿宋" w:hAnsi="仿宋" w:eastAsia="仿宋"/>
          <w:b/>
          <w:sz w:val="24"/>
          <w:szCs w:val="24"/>
        </w:rPr>
      </w:pPr>
      <w:r>
        <w:rPr>
          <w:rFonts w:hint="eastAsia" w:ascii="仿宋" w:hAnsi="仿宋" w:eastAsia="仿宋"/>
          <w:b/>
          <w:sz w:val="24"/>
          <w:szCs w:val="24"/>
        </w:rPr>
        <w:t>（三）调试和竣工验收阶段</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1、在调试后期对设备的主要技术指标进行验证，确认是否达到国家规范及标准的要求，为后续顺利通过相关检验做好准备。</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2、协助甲方完成项目分批验收的报检、协调工作。</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3、协助甲方编写相关技术及管理文件。</w:t>
      </w:r>
    </w:p>
    <w:p>
      <w:pPr>
        <w:pStyle w:val="60"/>
        <w:spacing w:line="500" w:lineRule="exact"/>
        <w:ind w:firstLine="480"/>
        <w:rPr>
          <w:rFonts w:ascii="仿宋" w:hAnsi="仿宋" w:eastAsia="仿宋"/>
          <w:sz w:val="24"/>
          <w:szCs w:val="24"/>
        </w:rPr>
      </w:pPr>
      <w:r>
        <w:rPr>
          <w:rFonts w:hint="eastAsia" w:ascii="仿宋" w:hAnsi="仿宋" w:eastAsia="仿宋"/>
          <w:sz w:val="24"/>
          <w:szCs w:val="24"/>
        </w:rPr>
        <w:t>二、甲方责任</w:t>
      </w:r>
    </w:p>
    <w:p>
      <w:pPr>
        <w:spacing w:line="500" w:lineRule="exact"/>
        <w:ind w:firstLine="545" w:firstLineChars="227"/>
        <w:rPr>
          <w:rFonts w:ascii="仿宋" w:hAnsi="仿宋" w:eastAsia="仿宋"/>
          <w:sz w:val="24"/>
          <w:szCs w:val="24"/>
        </w:rPr>
      </w:pPr>
      <w:r>
        <w:rPr>
          <w:rFonts w:hint="eastAsia" w:ascii="仿宋" w:hAnsi="仿宋" w:eastAsia="仿宋"/>
          <w:sz w:val="24"/>
          <w:szCs w:val="24"/>
        </w:rPr>
        <w:t>及时为乙方提供技术服务所需的有关资料、信息和工作条件。按照协议支付咨询服务费用，为乙方提供工作和生活的便利条件，负责乙方人员履行协议期间的食宿和交通。</w:t>
      </w:r>
    </w:p>
    <w:p>
      <w:pPr>
        <w:pStyle w:val="60"/>
        <w:spacing w:line="500" w:lineRule="exact"/>
        <w:ind w:firstLine="480"/>
        <w:rPr>
          <w:rFonts w:ascii="仿宋" w:hAnsi="仿宋" w:eastAsia="仿宋"/>
          <w:sz w:val="24"/>
          <w:szCs w:val="24"/>
        </w:rPr>
      </w:pPr>
      <w:r>
        <w:rPr>
          <w:rFonts w:hint="eastAsia" w:ascii="仿宋" w:hAnsi="仿宋" w:eastAsia="仿宋"/>
          <w:sz w:val="24"/>
          <w:szCs w:val="24"/>
        </w:rPr>
        <w:t>三、乙方责任</w:t>
      </w:r>
    </w:p>
    <w:p>
      <w:pPr>
        <w:spacing w:line="500" w:lineRule="exact"/>
        <w:ind w:firstLine="542" w:firstLineChars="226"/>
        <w:rPr>
          <w:rFonts w:ascii="仿宋" w:hAnsi="仿宋" w:eastAsia="仿宋"/>
          <w:sz w:val="24"/>
          <w:szCs w:val="24"/>
        </w:rPr>
      </w:pPr>
      <w:r>
        <w:rPr>
          <w:rFonts w:hint="eastAsia" w:ascii="仿宋" w:hAnsi="仿宋" w:eastAsia="仿宋"/>
          <w:sz w:val="24"/>
          <w:szCs w:val="24"/>
        </w:rPr>
        <w:t>乙方应选派技术水平优秀、能力较强的指导人员进行本项目工作，按照甲方提出工程进度和协议要求，努力完成技术服务工作内容直至符合国家有关部门要求和甲方要求。</w:t>
      </w:r>
    </w:p>
    <w:p>
      <w:pPr>
        <w:pStyle w:val="60"/>
        <w:spacing w:line="500" w:lineRule="exact"/>
        <w:ind w:firstLine="480"/>
        <w:rPr>
          <w:rFonts w:ascii="仿宋" w:hAnsi="仿宋" w:eastAsia="仿宋"/>
          <w:sz w:val="24"/>
          <w:szCs w:val="24"/>
        </w:rPr>
      </w:pPr>
      <w:r>
        <w:rPr>
          <w:rFonts w:hint="eastAsia" w:ascii="仿宋" w:hAnsi="仿宋" w:eastAsia="仿宋"/>
          <w:sz w:val="24"/>
          <w:szCs w:val="24"/>
        </w:rPr>
        <w:t>四、技术指导服务费用</w:t>
      </w:r>
    </w:p>
    <w:p>
      <w:pPr>
        <w:pStyle w:val="60"/>
        <w:spacing w:line="500" w:lineRule="exact"/>
        <w:ind w:firstLine="480"/>
        <w:rPr>
          <w:rFonts w:ascii="仿宋" w:hAnsi="仿宋" w:eastAsia="仿宋"/>
          <w:sz w:val="24"/>
          <w:szCs w:val="24"/>
        </w:rPr>
      </w:pPr>
      <w:r>
        <w:rPr>
          <w:rFonts w:hint="eastAsia" w:ascii="仿宋" w:hAnsi="仿宋" w:eastAsia="仿宋"/>
          <w:sz w:val="24"/>
          <w:szCs w:val="24"/>
        </w:rPr>
        <w:t>技术指导服务费为**万元人民币。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支付方式：1.协议签订后30日内支付：**万元（30%）；</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          2.工程开工后30日内支付：**万元（40%）；</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          3.竣工验收合格后30日内支付：**万元（30%）。</w:t>
      </w:r>
    </w:p>
    <w:p>
      <w:pPr>
        <w:spacing w:line="500" w:lineRule="exact"/>
        <w:ind w:left="447" w:leftChars="203" w:firstLine="120" w:firstLineChars="50"/>
        <w:rPr>
          <w:rFonts w:ascii="仿宋" w:hAnsi="仿宋" w:eastAsia="仿宋"/>
          <w:sz w:val="24"/>
          <w:szCs w:val="24"/>
        </w:rPr>
      </w:pPr>
      <w:r>
        <w:rPr>
          <w:rFonts w:hint="eastAsia" w:ascii="仿宋" w:hAnsi="仿宋" w:eastAsia="仿宋"/>
          <w:sz w:val="24"/>
          <w:szCs w:val="24"/>
        </w:rPr>
        <w:t>收款单位：</w:t>
      </w:r>
    </w:p>
    <w:p>
      <w:pPr>
        <w:spacing w:line="500" w:lineRule="exact"/>
        <w:ind w:left="447" w:leftChars="203" w:firstLine="120" w:firstLineChars="50"/>
        <w:rPr>
          <w:rFonts w:ascii="仿宋" w:hAnsi="仿宋" w:eastAsia="仿宋"/>
          <w:sz w:val="24"/>
          <w:szCs w:val="24"/>
        </w:rPr>
      </w:pPr>
      <w:r>
        <w:rPr>
          <w:rFonts w:hint="eastAsia" w:ascii="仿宋" w:hAnsi="仿宋" w:eastAsia="仿宋"/>
          <w:sz w:val="24"/>
          <w:szCs w:val="24"/>
        </w:rPr>
        <w:t>税号：</w:t>
      </w:r>
    </w:p>
    <w:p>
      <w:pPr>
        <w:spacing w:line="500" w:lineRule="exact"/>
        <w:ind w:left="447" w:leftChars="203" w:firstLine="120" w:firstLineChars="50"/>
        <w:rPr>
          <w:rFonts w:ascii="仿宋" w:hAnsi="仿宋" w:eastAsia="仿宋"/>
          <w:sz w:val="24"/>
          <w:szCs w:val="24"/>
        </w:rPr>
      </w:pPr>
      <w:r>
        <w:rPr>
          <w:rFonts w:hint="eastAsia" w:ascii="仿宋" w:hAnsi="仿宋" w:eastAsia="仿宋"/>
          <w:sz w:val="24"/>
          <w:szCs w:val="24"/>
        </w:rPr>
        <w:t>单位地址：</w:t>
      </w:r>
    </w:p>
    <w:p>
      <w:pPr>
        <w:spacing w:line="500" w:lineRule="exact"/>
        <w:ind w:left="447" w:leftChars="203" w:firstLine="120" w:firstLineChars="50"/>
        <w:rPr>
          <w:rFonts w:ascii="仿宋" w:hAnsi="仿宋" w:eastAsia="仿宋"/>
          <w:sz w:val="24"/>
          <w:szCs w:val="24"/>
        </w:rPr>
      </w:pPr>
      <w:r>
        <w:rPr>
          <w:rFonts w:hint="eastAsia" w:ascii="仿宋" w:hAnsi="仿宋" w:eastAsia="仿宋"/>
          <w:sz w:val="24"/>
          <w:szCs w:val="24"/>
        </w:rPr>
        <w:t>单位电话：</w:t>
      </w:r>
    </w:p>
    <w:p>
      <w:pPr>
        <w:spacing w:line="500" w:lineRule="exact"/>
        <w:ind w:left="447" w:leftChars="203" w:firstLine="120" w:firstLineChars="50"/>
        <w:rPr>
          <w:rFonts w:ascii="仿宋" w:hAnsi="仿宋" w:eastAsia="仿宋"/>
          <w:sz w:val="24"/>
          <w:szCs w:val="24"/>
        </w:rPr>
      </w:pPr>
      <w:r>
        <w:rPr>
          <w:rFonts w:hint="eastAsia" w:ascii="仿宋" w:hAnsi="仿宋" w:eastAsia="仿宋"/>
          <w:sz w:val="24"/>
          <w:szCs w:val="24"/>
        </w:rPr>
        <w:t>开户银行：</w:t>
      </w:r>
    </w:p>
    <w:p>
      <w:pPr>
        <w:spacing w:line="500" w:lineRule="exact"/>
        <w:ind w:left="447" w:leftChars="203" w:firstLine="120" w:firstLineChars="50"/>
        <w:rPr>
          <w:rFonts w:ascii="仿宋" w:hAnsi="仿宋" w:eastAsia="仿宋"/>
          <w:sz w:val="24"/>
          <w:szCs w:val="24"/>
        </w:rPr>
      </w:pPr>
      <w:r>
        <w:rPr>
          <w:rFonts w:hint="eastAsia" w:ascii="仿宋" w:hAnsi="仿宋" w:eastAsia="仿宋"/>
          <w:sz w:val="24"/>
          <w:szCs w:val="24"/>
        </w:rPr>
        <w:t>账号：</w:t>
      </w:r>
    </w:p>
    <w:p>
      <w:pPr>
        <w:spacing w:line="500" w:lineRule="exact"/>
        <w:ind w:left="6" w:firstLine="600" w:firstLineChars="250"/>
        <w:rPr>
          <w:rFonts w:ascii="仿宋" w:hAnsi="仿宋" w:eastAsia="仿宋"/>
          <w:sz w:val="24"/>
          <w:szCs w:val="24"/>
        </w:rPr>
      </w:pPr>
      <w:r>
        <w:rPr>
          <w:rFonts w:hint="eastAsia" w:ascii="仿宋" w:hAnsi="仿宋" w:eastAsia="仿宋"/>
          <w:sz w:val="24"/>
          <w:szCs w:val="24"/>
        </w:rPr>
        <w:t>乙方应当在收到相应款项后5个工作日内向甲方开具符合甲方要求的等额增值税专用发票。</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五、争议解决方式</w:t>
      </w:r>
    </w:p>
    <w:p>
      <w:pPr>
        <w:spacing w:line="500" w:lineRule="exact"/>
        <w:ind w:firstLine="530" w:firstLineChars="221"/>
        <w:rPr>
          <w:rFonts w:ascii="仿宋" w:hAnsi="仿宋" w:eastAsia="仿宋"/>
          <w:sz w:val="24"/>
          <w:szCs w:val="24"/>
        </w:rPr>
      </w:pPr>
      <w:r>
        <w:rPr>
          <w:rFonts w:hint="eastAsia" w:ascii="仿宋" w:hAnsi="仿宋" w:eastAsia="仿宋"/>
          <w:sz w:val="24"/>
          <w:szCs w:val="24"/>
        </w:rPr>
        <w:t>本协议履行中如发生纠纷，双方应协商解决。如协商不成，任何一方都可以向甲方所在地人民法院提起诉讼。</w:t>
      </w:r>
    </w:p>
    <w:p>
      <w:pPr>
        <w:spacing w:line="500" w:lineRule="exact"/>
        <w:ind w:firstLine="530" w:firstLineChars="221"/>
        <w:rPr>
          <w:rFonts w:ascii="仿宋" w:hAnsi="仿宋" w:eastAsia="仿宋"/>
          <w:sz w:val="24"/>
          <w:szCs w:val="24"/>
        </w:rPr>
      </w:pPr>
      <w:r>
        <w:rPr>
          <w:rFonts w:hint="eastAsia" w:ascii="仿宋" w:hAnsi="仿宋" w:eastAsia="仿宋"/>
          <w:sz w:val="24"/>
          <w:szCs w:val="24"/>
        </w:rPr>
        <w:t>六、责任承担</w:t>
      </w:r>
    </w:p>
    <w:p>
      <w:pPr>
        <w:spacing w:line="500" w:lineRule="exact"/>
        <w:ind w:firstLine="530" w:firstLineChars="221"/>
        <w:rPr>
          <w:rFonts w:ascii="仿宋" w:hAnsi="仿宋" w:eastAsia="仿宋"/>
          <w:sz w:val="24"/>
          <w:szCs w:val="24"/>
        </w:rPr>
      </w:pPr>
      <w:r>
        <w:rPr>
          <w:rFonts w:hint="eastAsia" w:ascii="仿宋" w:hAnsi="仿宋" w:eastAsia="仿宋"/>
          <w:sz w:val="24"/>
          <w:szCs w:val="24"/>
        </w:rPr>
        <w:t>乙方应按照合同约定的内容及要求完成各阶段的技术指导工作，否则，甲方有权要求乙方返工、重作，直至符合甲方要求。乙方拒绝完善服务导致不能达成本协议目的，甲方有权要求乙方退还已支付款项。</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p>
    <w:p>
      <w:pPr>
        <w:spacing w:line="500" w:lineRule="exact"/>
        <w:ind w:firstLine="530" w:firstLineChars="221"/>
        <w:rPr>
          <w:rFonts w:ascii="仿宋" w:hAnsi="仿宋" w:eastAsia="仿宋"/>
          <w:sz w:val="24"/>
          <w:szCs w:val="24"/>
        </w:rPr>
      </w:pPr>
      <w:r>
        <w:rPr>
          <w:rFonts w:hint="eastAsia" w:ascii="仿宋" w:hAnsi="仿宋" w:eastAsia="仿宋"/>
          <w:sz w:val="24"/>
          <w:szCs w:val="24"/>
        </w:rPr>
        <w:t>七、其他约定</w:t>
      </w:r>
    </w:p>
    <w:p>
      <w:pPr>
        <w:spacing w:line="500" w:lineRule="exact"/>
        <w:ind w:firstLine="530" w:firstLineChars="221"/>
        <w:rPr>
          <w:rFonts w:ascii="仿宋" w:hAnsi="仿宋" w:eastAsia="仿宋"/>
          <w:sz w:val="24"/>
          <w:szCs w:val="24"/>
        </w:rPr>
      </w:pPr>
      <w:r>
        <w:rPr>
          <w:rFonts w:hint="eastAsia" w:ascii="仿宋" w:hAnsi="仿宋" w:eastAsia="仿宋"/>
          <w:sz w:val="24"/>
          <w:szCs w:val="24"/>
        </w:rPr>
        <w:t>（一）因甲方决定索道工程停建或乙方服务质量达不到本协议约定要求等原因而致使本协议终止，甲方有权不予支付按本协议剩余阶段的服务费用。</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（二）本协议未尽事宜，双方根据需要，经协商可另行签订补充协议。</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（三）本协议一式陆份，双方各持叁份，具有同等效力。      </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（四）本协议经双方法定代表人或委托代理人签字并加盖公章后生效，至双方按本协议履行完毕各自义务时终止。</w:t>
      </w:r>
    </w:p>
    <w:p>
      <w:pPr>
        <w:spacing w:line="500" w:lineRule="exact"/>
        <w:rPr>
          <w:rFonts w:ascii="仿宋" w:hAnsi="仿宋" w:eastAsia="仿宋"/>
          <w:b/>
          <w:sz w:val="24"/>
          <w:szCs w:val="24"/>
        </w:rPr>
      </w:pPr>
    </w:p>
    <w:p>
      <w:pPr>
        <w:spacing w:line="500" w:lineRule="exact"/>
        <w:rPr>
          <w:rFonts w:ascii="仿宋" w:hAnsi="仿宋" w:eastAsia="仿宋"/>
          <w:sz w:val="24"/>
          <w:szCs w:val="24"/>
        </w:rPr>
      </w:pPr>
      <w:r>
        <w:rPr>
          <w:rFonts w:hint="eastAsia" w:ascii="仿宋" w:hAnsi="仿宋" w:eastAsia="仿宋"/>
          <w:sz w:val="24"/>
          <w:szCs w:val="24"/>
        </w:rPr>
        <w:t>（甲方）（签章）：</w:t>
      </w:r>
    </w:p>
    <w:p>
      <w:pPr>
        <w:spacing w:line="500" w:lineRule="exact"/>
        <w:ind w:left="-40"/>
        <w:rPr>
          <w:rFonts w:ascii="仿宋" w:hAnsi="仿宋" w:eastAsia="仿宋"/>
          <w:sz w:val="24"/>
          <w:szCs w:val="24"/>
        </w:rPr>
      </w:pPr>
      <w:r>
        <w:rPr>
          <w:rFonts w:hint="eastAsia" w:ascii="仿宋" w:hAnsi="仿宋" w:eastAsia="仿宋"/>
          <w:sz w:val="24"/>
          <w:szCs w:val="24"/>
        </w:rPr>
        <w:t>统一社会信用代码：</w:t>
      </w:r>
    </w:p>
    <w:p>
      <w:pPr>
        <w:spacing w:line="500" w:lineRule="exact"/>
        <w:ind w:left="-40"/>
        <w:rPr>
          <w:rFonts w:ascii="仿宋" w:hAnsi="仿宋" w:eastAsia="仿宋"/>
          <w:sz w:val="24"/>
          <w:szCs w:val="24"/>
        </w:rPr>
      </w:pPr>
      <w:r>
        <w:rPr>
          <w:rFonts w:hint="eastAsia" w:ascii="仿宋" w:hAnsi="仿宋" w:eastAsia="仿宋"/>
          <w:sz w:val="24"/>
          <w:szCs w:val="24"/>
        </w:rPr>
        <w:t>法定代表人（签字）：</w:t>
      </w:r>
    </w:p>
    <w:p>
      <w:pPr>
        <w:spacing w:line="500" w:lineRule="exact"/>
        <w:ind w:left="-40"/>
        <w:rPr>
          <w:rFonts w:ascii="仿宋" w:hAnsi="仿宋" w:eastAsia="仿宋"/>
          <w:sz w:val="24"/>
          <w:szCs w:val="24"/>
        </w:rPr>
      </w:pPr>
      <w:r>
        <w:rPr>
          <w:rFonts w:hint="eastAsia" w:ascii="仿宋" w:hAnsi="仿宋" w:eastAsia="仿宋"/>
          <w:sz w:val="24"/>
          <w:szCs w:val="24"/>
        </w:rPr>
        <w:t>或委托代理人（签字）：</w:t>
      </w:r>
    </w:p>
    <w:p>
      <w:pPr>
        <w:spacing w:line="500" w:lineRule="exact"/>
        <w:ind w:left="-40"/>
        <w:rPr>
          <w:rFonts w:ascii="仿宋" w:hAnsi="仿宋" w:eastAsia="仿宋"/>
          <w:sz w:val="24"/>
          <w:szCs w:val="24"/>
        </w:rPr>
      </w:pPr>
    </w:p>
    <w:p>
      <w:pPr>
        <w:spacing w:line="500" w:lineRule="exact"/>
        <w:rPr>
          <w:rFonts w:ascii="仿宋" w:hAnsi="仿宋" w:eastAsia="仿宋"/>
          <w:sz w:val="24"/>
          <w:szCs w:val="24"/>
        </w:rPr>
      </w:pPr>
      <w:r>
        <w:rPr>
          <w:rFonts w:hint="eastAsia" w:ascii="仿宋" w:hAnsi="仿宋" w:eastAsia="仿宋"/>
          <w:sz w:val="24"/>
          <w:szCs w:val="24"/>
        </w:rPr>
        <w:t>（乙方）（签章）：</w:t>
      </w:r>
    </w:p>
    <w:p>
      <w:pPr>
        <w:spacing w:line="500" w:lineRule="exact"/>
        <w:ind w:left="-40"/>
        <w:rPr>
          <w:rFonts w:ascii="仿宋" w:hAnsi="仿宋" w:eastAsia="仿宋"/>
          <w:sz w:val="24"/>
          <w:szCs w:val="24"/>
        </w:rPr>
      </w:pPr>
      <w:r>
        <w:rPr>
          <w:rFonts w:hint="eastAsia" w:ascii="仿宋" w:hAnsi="仿宋" w:eastAsia="仿宋"/>
          <w:sz w:val="24"/>
          <w:szCs w:val="24"/>
        </w:rPr>
        <w:t>统一社会信用代码：</w:t>
      </w:r>
    </w:p>
    <w:p>
      <w:pPr>
        <w:spacing w:line="500" w:lineRule="exact"/>
        <w:rPr>
          <w:rFonts w:ascii="仿宋" w:hAnsi="仿宋" w:eastAsia="仿宋"/>
          <w:sz w:val="24"/>
          <w:szCs w:val="24"/>
        </w:rPr>
      </w:pPr>
      <w:r>
        <w:rPr>
          <w:rFonts w:hint="eastAsia" w:ascii="仿宋" w:hAnsi="仿宋" w:eastAsia="仿宋"/>
          <w:sz w:val="24"/>
          <w:szCs w:val="24"/>
        </w:rPr>
        <w:t>法定代表人（签字）：</w:t>
      </w:r>
    </w:p>
    <w:p>
      <w:pPr>
        <w:spacing w:line="500" w:lineRule="exact"/>
        <w:ind w:left="-40"/>
        <w:rPr>
          <w:rFonts w:ascii="仿宋" w:hAnsi="仿宋" w:eastAsia="仿宋"/>
          <w:sz w:val="24"/>
          <w:szCs w:val="24"/>
        </w:rPr>
      </w:pPr>
      <w:r>
        <w:rPr>
          <w:rFonts w:hint="eastAsia" w:ascii="仿宋" w:hAnsi="仿宋" w:eastAsia="仿宋"/>
          <w:sz w:val="24"/>
          <w:szCs w:val="24"/>
        </w:rPr>
        <w:t>或委托代理人（签字）：</w:t>
      </w:r>
    </w:p>
    <w:p/>
    <w:p/>
    <w:p/>
    <w:p/>
    <w:p/>
    <w:p/>
    <w:p/>
    <w:p/>
    <w:p/>
    <w:p>
      <w:pPr>
        <w:rPr>
          <w:rFonts w:ascii="宋体" w:hAnsi="宋体" w:eastAsia="宋体"/>
          <w:sz w:val="24"/>
          <w:szCs w:val="24"/>
        </w:rPr>
      </w:pPr>
      <w:r>
        <w:rPr>
          <w:rFonts w:hint="eastAsia" w:ascii="宋体" w:hAnsi="宋体" w:eastAsia="宋体"/>
          <w:bCs/>
          <w:sz w:val="24"/>
          <w:szCs w:val="24"/>
        </w:rPr>
        <w:t>附件1</w:t>
      </w:r>
      <w:r>
        <w:rPr>
          <w:rFonts w:hint="eastAsia" w:ascii="宋体" w:hAnsi="宋体" w:eastAsia="宋体"/>
          <w:sz w:val="24"/>
          <w:szCs w:val="24"/>
        </w:rPr>
        <w:t>：</w:t>
      </w:r>
      <w:bookmarkEnd w:id="52"/>
    </w:p>
    <w:p>
      <w:pPr>
        <w:spacing w:line="360" w:lineRule="auto"/>
        <w:ind w:firstLine="646" w:firstLineChars="202"/>
        <w:jc w:val="center"/>
        <w:rPr>
          <w:rFonts w:ascii="宋体" w:hAnsi="宋体" w:cs="宋体"/>
          <w:bCs/>
          <w:sz w:val="32"/>
          <w:szCs w:val="32"/>
        </w:rPr>
      </w:pPr>
      <w:r>
        <w:rPr>
          <w:rFonts w:hint="eastAsia" w:ascii="宋体" w:hAnsi="宋体" w:cs="宋体"/>
          <w:bCs/>
          <w:sz w:val="32"/>
          <w:szCs w:val="32"/>
        </w:rPr>
        <w:t>湖北省建设工程中介咨询服务廉洁协议书</w:t>
      </w:r>
    </w:p>
    <w:p>
      <w:pPr>
        <w:overflowPunct w:val="0"/>
        <w:spacing w:after="0" w:line="360" w:lineRule="auto"/>
        <w:ind w:firstLine="487" w:firstLineChars="202"/>
        <w:jc w:val="both"/>
        <w:rPr>
          <w:rFonts w:ascii="仿宋" w:hAnsi="仿宋" w:eastAsia="仿宋" w:cs="宋体"/>
          <w:b/>
          <w:bCs/>
          <w:sz w:val="24"/>
          <w:szCs w:val="24"/>
        </w:rPr>
      </w:pPr>
      <w:r>
        <w:rPr>
          <w:rFonts w:hint="eastAsia" w:ascii="仿宋" w:hAnsi="仿宋" w:eastAsia="仿宋" w:cs="宋体"/>
          <w:b/>
          <w:bCs/>
          <w:sz w:val="24"/>
          <w:szCs w:val="24"/>
        </w:rPr>
        <w:t>甲方（发包人）：</w:t>
      </w:r>
    </w:p>
    <w:p>
      <w:pPr>
        <w:overflowPunct w:val="0"/>
        <w:spacing w:after="0" w:line="360" w:lineRule="auto"/>
        <w:ind w:firstLine="487" w:firstLineChars="202"/>
        <w:jc w:val="both"/>
        <w:rPr>
          <w:rFonts w:ascii="仿宋" w:hAnsi="仿宋" w:eastAsia="仿宋" w:cs="宋体"/>
          <w:b/>
          <w:bCs/>
          <w:sz w:val="24"/>
          <w:szCs w:val="24"/>
        </w:rPr>
      </w:pPr>
      <w:r>
        <w:rPr>
          <w:rFonts w:hint="eastAsia" w:ascii="仿宋" w:hAnsi="仿宋" w:eastAsia="仿宋" w:cs="宋体"/>
          <w:b/>
          <w:bCs/>
          <w:sz w:val="24"/>
          <w:szCs w:val="24"/>
        </w:rPr>
        <w:t>乙方（承包人）：</w:t>
      </w:r>
    </w:p>
    <w:p>
      <w:pPr>
        <w:overflowPunct w:val="0"/>
        <w:spacing w:after="0" w:line="360" w:lineRule="auto"/>
        <w:ind w:firstLine="487" w:firstLineChars="202"/>
        <w:jc w:val="both"/>
        <w:rPr>
          <w:rFonts w:ascii="仿宋" w:hAnsi="仿宋" w:eastAsia="仿宋" w:cs="宋体"/>
          <w:sz w:val="24"/>
          <w:szCs w:val="24"/>
        </w:rPr>
      </w:pPr>
      <w:r>
        <w:rPr>
          <w:rFonts w:hint="eastAsia" w:ascii="仿宋" w:hAnsi="仿宋" w:eastAsia="仿宋" w:cs="宋体"/>
          <w:b/>
          <w:bCs/>
          <w:sz w:val="24"/>
          <w:szCs w:val="24"/>
        </w:rPr>
        <w:t>工程项目名称：</w:t>
      </w:r>
    </w:p>
    <w:p>
      <w:pPr>
        <w:overflowPunct w:val="0"/>
        <w:spacing w:after="0" w:line="360" w:lineRule="auto"/>
        <w:ind w:firstLine="487" w:firstLineChars="202"/>
        <w:jc w:val="both"/>
        <w:rPr>
          <w:rFonts w:ascii="仿宋" w:hAnsi="仿宋" w:eastAsia="仿宋" w:cs="宋体"/>
          <w:sz w:val="24"/>
          <w:szCs w:val="24"/>
        </w:rPr>
      </w:pPr>
      <w:r>
        <w:rPr>
          <w:rFonts w:hint="eastAsia" w:ascii="仿宋" w:hAnsi="仿宋" w:eastAsia="仿宋" w:cs="宋体"/>
          <w:b/>
          <w:bCs/>
          <w:sz w:val="24"/>
          <w:szCs w:val="24"/>
        </w:rPr>
        <w:t>工程项目地址</w:t>
      </w:r>
      <w:r>
        <w:rPr>
          <w:rFonts w:hint="eastAsia" w:ascii="仿宋" w:hAnsi="仿宋" w:eastAsia="仿宋" w:cs="宋体"/>
          <w:sz w:val="24"/>
          <w:szCs w:val="24"/>
        </w:rPr>
        <w:t>：</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为加强廉洁建设，规范承发包双方的活动，防止发生各种谋取不正当利益的违法违纪行为，保护当事人的合法权益，根据省政府第308号令的有关规定，由甲方与乙方订立本协议书。</w:t>
      </w:r>
    </w:p>
    <w:p>
      <w:pPr>
        <w:overflowPunct w:val="0"/>
        <w:spacing w:after="0" w:line="360" w:lineRule="auto"/>
        <w:ind w:firstLine="487" w:firstLineChars="202"/>
        <w:jc w:val="both"/>
        <w:rPr>
          <w:rFonts w:ascii="仿宋" w:hAnsi="仿宋" w:eastAsia="仿宋" w:cs="宋体"/>
          <w:b/>
          <w:sz w:val="24"/>
          <w:szCs w:val="24"/>
        </w:rPr>
      </w:pPr>
      <w:r>
        <w:rPr>
          <w:rFonts w:hint="eastAsia" w:ascii="仿宋" w:hAnsi="仿宋" w:eastAsia="仿宋" w:cs="宋体"/>
          <w:b/>
          <w:sz w:val="24"/>
          <w:szCs w:val="24"/>
        </w:rPr>
        <w:t>第一条  甲乙双方责任</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（一）严格遵守国家法律法规和省政府第308号令的有关规定。</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（二）严格执行一切合同文件，自觉按合同办事。</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（三）双方的业务活动坚持公平、公开、公正和诚信的原则（法律法规另有规定除外），不得损害国家、集体和对方利益，不得违反工程建设管理规章制度。</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（四）建立健全廉洁制度，开展廉洁教育，设立廉洁告示牌，公布举报电话，监督并认真查处违法违纪行为。</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（五）发现对方在业务活动中有违反廉洁建设规定的行为，应及时给予提醒和纠正。</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（六）发现对方严重违反廉洁建设的行为，应向其上级部门或纪检、监察等有关机关举报。影响合同履行的，可按合同中关于合同解除的约定处理。</w:t>
      </w:r>
    </w:p>
    <w:p>
      <w:pPr>
        <w:overflowPunct w:val="0"/>
        <w:spacing w:after="0" w:line="360" w:lineRule="auto"/>
        <w:ind w:firstLine="487" w:firstLineChars="202"/>
        <w:jc w:val="both"/>
        <w:rPr>
          <w:rFonts w:ascii="仿宋" w:hAnsi="仿宋" w:eastAsia="仿宋" w:cs="宋体"/>
          <w:b/>
          <w:sz w:val="24"/>
          <w:szCs w:val="24"/>
        </w:rPr>
      </w:pPr>
      <w:r>
        <w:rPr>
          <w:rFonts w:hint="eastAsia" w:ascii="仿宋" w:hAnsi="仿宋" w:eastAsia="仿宋" w:cs="宋体"/>
          <w:b/>
          <w:sz w:val="24"/>
          <w:szCs w:val="24"/>
        </w:rPr>
        <w:t>第二条  甲方责任</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甲方作为工程项目的建设单位，全面负责工程建设的进度、质量和资金管理，认真履行合同规定的甲方责任。</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（三）甲方人员不得参加乙方安排的宴请（工作餐除外）和娱乐活动；不得接受乙方提供的通讯工具、交通工具和高档办公用品等。</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（四）甲方人员不得要求或者接受乙方为其住房装修、婚丧嫁娶活动、配偶子女的工作等安排提方便。</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（五）甲方人员及其配偶、子女等亲友不得从事与乙方有关的工程材料设备供应、工程分包、劳务等经济活动。</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（六）甲方人员不得以任何理由向乙方推荐分包单位或推销材料，不得要求乙方购买合同约定以外的材料和设备。</w:t>
      </w:r>
    </w:p>
    <w:p>
      <w:pPr>
        <w:overflowPunct w:val="0"/>
        <w:spacing w:after="0" w:line="360" w:lineRule="auto"/>
        <w:jc w:val="both"/>
        <w:rPr>
          <w:rFonts w:ascii="仿宋" w:hAnsi="仿宋" w:eastAsia="仿宋" w:cs="宋体"/>
          <w:b/>
          <w:sz w:val="24"/>
          <w:szCs w:val="24"/>
        </w:rPr>
      </w:pPr>
      <w:r>
        <w:rPr>
          <w:rFonts w:hint="eastAsia" w:ascii="仿宋" w:hAnsi="仿宋" w:eastAsia="仿宋" w:cs="宋体"/>
          <w:b/>
          <w:sz w:val="24"/>
          <w:szCs w:val="24"/>
        </w:rPr>
        <w:t>第三条 乙方责任</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（一）乙方作为工程项目的施工责任主体，严格执行工程建设法律、法规和强制性标准与规范，依照合同负责承担工程建设的进度、质量、资金控制。</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（三）乙方不得以任何理由安排甲方人员参加宴请（工作餐除外）及娱乐活动，提供通讯工具、交通工具、和高档办公用品。</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（四）乙方不向甲方人员的住房装修、婚丧嫁娶活动、配偶子女工作等安排提供便利。</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（五）乙方不接受甲方人员及其配偶、子女等亲友从事或明示、暗示干涉工程材料设备供应、工程分包、劳务等经济活动的要求。</w:t>
      </w:r>
    </w:p>
    <w:p>
      <w:pPr>
        <w:overflowPunct w:val="0"/>
        <w:spacing w:after="0" w:line="360" w:lineRule="auto"/>
        <w:jc w:val="both"/>
        <w:rPr>
          <w:rFonts w:ascii="仿宋" w:hAnsi="仿宋" w:eastAsia="仿宋" w:cs="宋体"/>
          <w:b/>
          <w:sz w:val="24"/>
          <w:szCs w:val="24"/>
        </w:rPr>
      </w:pPr>
      <w:r>
        <w:rPr>
          <w:rFonts w:hint="eastAsia" w:ascii="仿宋" w:hAnsi="仿宋" w:eastAsia="仿宋" w:cs="宋体"/>
          <w:b/>
          <w:sz w:val="24"/>
          <w:szCs w:val="24"/>
        </w:rPr>
        <w:t>第四条  违约责任</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（一）甲方人员违反本协议第一条和第二条规定的，按照管理权限，依据有关法律和规定给予党纪、政纪处分或组织处理，涉嫌犯罪的，移交司法机关追究刑事责任；给乙方造成经济损失的，应予赔偿。</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二）乙方人员违反本协议第一条和第三条规定的，按照管理权限，依据有关法律和规定给予党纪、政纪处分或组织处理，涉嫌犯罪的，移交司法机关追究刑事责任；工程在实施过程中，发生不廉洁行为，由乙方承担全部责任，并接受甲方的经济处罚，给甲方造成经济损失的，应予全额赔偿。</w:t>
      </w:r>
    </w:p>
    <w:p>
      <w:pPr>
        <w:overflowPunct w:val="0"/>
        <w:spacing w:after="0" w:line="360" w:lineRule="auto"/>
        <w:jc w:val="both"/>
        <w:rPr>
          <w:rFonts w:ascii="仿宋" w:hAnsi="仿宋" w:eastAsia="仿宋" w:cs="宋体"/>
          <w:b/>
          <w:sz w:val="24"/>
          <w:szCs w:val="24"/>
        </w:rPr>
      </w:pPr>
      <w:r>
        <w:rPr>
          <w:rFonts w:hint="eastAsia" w:ascii="仿宋" w:hAnsi="仿宋" w:eastAsia="仿宋" w:cs="宋体"/>
          <w:b/>
          <w:sz w:val="24"/>
          <w:szCs w:val="24"/>
        </w:rPr>
        <w:t>第五条 协议生效</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本协议的有效期，自双方签署之日起至该工程竣工验收合格之日止。</w:t>
      </w:r>
    </w:p>
    <w:p>
      <w:pPr>
        <w:overflowPunct w:val="0"/>
        <w:spacing w:after="0" w:line="360" w:lineRule="auto"/>
        <w:jc w:val="both"/>
        <w:rPr>
          <w:rFonts w:ascii="仿宋" w:hAnsi="仿宋" w:eastAsia="仿宋" w:cs="宋体"/>
          <w:b/>
          <w:sz w:val="24"/>
          <w:szCs w:val="24"/>
        </w:rPr>
      </w:pPr>
      <w:r>
        <w:rPr>
          <w:rFonts w:hint="eastAsia" w:ascii="仿宋" w:hAnsi="仿宋" w:eastAsia="仿宋" w:cs="宋体"/>
          <w:b/>
          <w:sz w:val="24"/>
          <w:szCs w:val="24"/>
        </w:rPr>
        <w:t>第六条 协议法律效力</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本协议书作为主合同的附件，与主合同具有同等的法律效力，经双方签署后生效。</w:t>
      </w:r>
    </w:p>
    <w:p>
      <w:pPr>
        <w:overflowPunct w:val="0"/>
        <w:spacing w:after="0" w:line="360" w:lineRule="auto"/>
        <w:jc w:val="both"/>
        <w:rPr>
          <w:rFonts w:ascii="仿宋" w:hAnsi="仿宋" w:eastAsia="仿宋" w:cs="宋体"/>
          <w:b/>
          <w:sz w:val="24"/>
          <w:szCs w:val="24"/>
        </w:rPr>
      </w:pPr>
      <w:r>
        <w:rPr>
          <w:rFonts w:hint="eastAsia" w:ascii="仿宋" w:hAnsi="仿宋" w:eastAsia="仿宋" w:cs="宋体"/>
          <w:b/>
          <w:sz w:val="24"/>
          <w:szCs w:val="24"/>
        </w:rPr>
        <w:t>第七条 协议份数</w:t>
      </w: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本协议一式捌份，甲方执陆份，乙方执贰份。在签订后与主合同一并送工程所在地建设行政主管部门或其指定（委托）的部门（机构）备案一份。</w:t>
      </w:r>
    </w:p>
    <w:p>
      <w:pPr>
        <w:overflowPunct w:val="0"/>
        <w:spacing w:after="0" w:line="360" w:lineRule="auto"/>
        <w:ind w:firstLine="485" w:firstLineChars="202"/>
        <w:jc w:val="both"/>
        <w:rPr>
          <w:rFonts w:ascii="仿宋" w:hAnsi="仿宋" w:eastAsia="仿宋" w:cs="宋体"/>
          <w:sz w:val="24"/>
          <w:szCs w:val="24"/>
        </w:rPr>
      </w:pPr>
    </w:p>
    <w:p>
      <w:pPr>
        <w:overflowPunct w:val="0"/>
        <w:spacing w:after="0" w:line="360" w:lineRule="auto"/>
        <w:ind w:firstLine="485" w:firstLineChars="202"/>
        <w:jc w:val="both"/>
        <w:rPr>
          <w:rFonts w:ascii="仿宋" w:hAnsi="仿宋" w:eastAsia="仿宋" w:cs="宋体"/>
          <w:sz w:val="24"/>
          <w:szCs w:val="24"/>
        </w:rPr>
      </w:pPr>
      <w:r>
        <w:rPr>
          <w:rFonts w:hint="eastAsia" w:ascii="仿宋" w:hAnsi="仿宋" w:eastAsia="仿宋" w:cs="宋体"/>
          <w:sz w:val="24"/>
          <w:szCs w:val="24"/>
        </w:rPr>
        <w:t>甲方:(公章):                         乙方:(公章):</w:t>
      </w:r>
    </w:p>
    <w:p>
      <w:pPr>
        <w:overflowPunct w:val="0"/>
        <w:spacing w:after="0" w:line="360" w:lineRule="auto"/>
        <w:jc w:val="both"/>
        <w:rPr>
          <w:rFonts w:ascii="仿宋" w:hAnsi="仿宋" w:eastAsia="仿宋" w:cs="宋体"/>
          <w:sz w:val="24"/>
          <w:szCs w:val="24"/>
        </w:rPr>
      </w:pPr>
      <w:r>
        <w:rPr>
          <w:rFonts w:hint="eastAsia" w:ascii="仿宋" w:hAnsi="仿宋" w:eastAsia="仿宋" w:cs="宋体"/>
          <w:sz w:val="24"/>
          <w:szCs w:val="24"/>
        </w:rPr>
        <w:t xml:space="preserve">    法定代表人：                         法定代表人：</w:t>
      </w:r>
    </w:p>
    <w:p>
      <w:pPr>
        <w:overflowPunct w:val="0"/>
        <w:spacing w:after="0" w:line="360" w:lineRule="auto"/>
        <w:jc w:val="both"/>
        <w:rPr>
          <w:rFonts w:ascii="仿宋" w:hAnsi="仿宋" w:eastAsia="仿宋" w:cs="宋体"/>
          <w:sz w:val="24"/>
          <w:szCs w:val="24"/>
        </w:rPr>
      </w:pPr>
      <w:r>
        <w:rPr>
          <w:rFonts w:hint="eastAsia" w:ascii="仿宋" w:hAnsi="仿宋" w:eastAsia="仿宋" w:cs="宋体"/>
          <w:sz w:val="24"/>
          <w:szCs w:val="24"/>
        </w:rPr>
        <w:t xml:space="preserve">    委托代理人：                         委托代理人：</w:t>
      </w:r>
    </w:p>
    <w:p>
      <w:pPr>
        <w:overflowPunct w:val="0"/>
        <w:spacing w:after="0" w:line="360" w:lineRule="auto"/>
        <w:jc w:val="both"/>
        <w:rPr>
          <w:rFonts w:ascii="仿宋" w:hAnsi="仿宋" w:eastAsia="仿宋" w:cs="宋体"/>
          <w:sz w:val="24"/>
          <w:szCs w:val="24"/>
        </w:rPr>
      </w:pPr>
    </w:p>
    <w:p>
      <w:pPr>
        <w:overflowPunct w:val="0"/>
        <w:spacing w:after="0" w:line="360" w:lineRule="auto"/>
        <w:jc w:val="both"/>
        <w:rPr>
          <w:rFonts w:ascii="仿宋" w:hAnsi="仿宋" w:eastAsia="仿宋"/>
          <w:sz w:val="24"/>
          <w:szCs w:val="24"/>
        </w:rPr>
      </w:pPr>
      <w:r>
        <w:rPr>
          <w:rFonts w:hint="eastAsia" w:ascii="仿宋" w:hAnsi="仿宋" w:eastAsia="仿宋"/>
          <w:sz w:val="24"/>
          <w:szCs w:val="24"/>
        </w:rPr>
        <w:t>日期：   年   月   日                日期：   年   月   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beforeLines="50" w:afterLines="50" w:line="440" w:lineRule="exact"/>
        <w:rPr>
          <w:rFonts w:ascii="宋体" w:hAnsi="宋体"/>
          <w:color w:val="000000"/>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仿宋" w:hAnsi="仿宋" w:eastAsia="仿宋"/>
          <w:sz w:val="32"/>
          <w:szCs w:val="32"/>
        </w:rPr>
      </w:pPr>
      <w:r>
        <w:rPr>
          <w:rFonts w:hint="eastAsia" w:ascii="宋体" w:hAnsi="宋体"/>
          <w:color w:val="000000"/>
          <w:szCs w:val="21"/>
        </w:rPr>
        <w:br w:type="page"/>
      </w:r>
    </w:p>
    <w:p>
      <w:pPr>
        <w:pStyle w:val="2"/>
        <w:jc w:val="center"/>
        <w:rPr>
          <w:rFonts w:ascii="宋体" w:hAnsi="宋体"/>
          <w:b w:val="0"/>
          <w:sz w:val="28"/>
          <w:szCs w:val="28"/>
        </w:rPr>
      </w:pPr>
      <w:bookmarkStart w:id="53" w:name="_Toc518416747"/>
      <w:r>
        <w:rPr>
          <w:rFonts w:hint="eastAsia" w:ascii="宋体" w:hAnsi="宋体"/>
          <w:sz w:val="28"/>
          <w:szCs w:val="28"/>
        </w:rPr>
        <w:t>第五章  投标文件格式</w:t>
      </w:r>
      <w:bookmarkEnd w:id="53"/>
    </w:p>
    <w:p>
      <w:pPr>
        <w:spacing w:line="220" w:lineRule="atLeast"/>
        <w:rPr>
          <w:rFonts w:ascii="宋体" w:hAnsi="宋体" w:eastAsia="宋体"/>
          <w:sz w:val="24"/>
          <w:szCs w:val="24"/>
        </w:rPr>
      </w:pPr>
      <w:r>
        <w:rPr>
          <w:rFonts w:hint="eastAsia" w:ascii="宋体" w:hAnsi="宋体" w:eastAsia="宋体"/>
          <w:sz w:val="24"/>
          <w:szCs w:val="24"/>
        </w:rPr>
        <w:t>1.投标文件封面格式</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32"/>
          <w:szCs w:val="28"/>
        </w:rPr>
      </w:pPr>
      <w:r>
        <w:rPr>
          <w:rFonts w:hint="eastAsia" w:ascii="宋体" w:hAnsi="宋体" w:eastAsia="宋体"/>
          <w:b/>
          <w:sz w:val="32"/>
          <w:szCs w:val="32"/>
        </w:rPr>
        <w:t>清江红花峡客运索道工程技术指导服务项目</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投标文件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rPr>
        <w:t>年月日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2.截取（截图）挂网公告放于投标文件首页</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挂网公告</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3.投标报价文件格式</w:t>
      </w: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致：（招标人）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根据贵方项目的招标公告及招标文件，我方签字代表（姓名）经正式授权并代表投标人（投标人全称）提交本项目的投标文件：正本一份、副本四份。</w:t>
      </w:r>
    </w:p>
    <w:p>
      <w:pPr>
        <w:ind w:left="440" w:leftChars="200"/>
        <w:rPr>
          <w:rFonts w:ascii="宋体" w:hAnsi="宋体" w:eastAsia="宋体"/>
          <w:sz w:val="24"/>
          <w:szCs w:val="24"/>
        </w:rPr>
      </w:pPr>
      <w:r>
        <w:rPr>
          <w:rFonts w:hint="eastAsia" w:ascii="宋体" w:hAnsi="宋体" w:eastAsia="宋体"/>
          <w:sz w:val="24"/>
          <w:szCs w:val="24"/>
        </w:rPr>
        <w:t>愿意按照招标文件中的一切要求，提供施工服务，报价为：人民币￥元（大写：），服务期限从之日止，服务质量符合。</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我方已详细审查全部“招标文件”，包括修改文件以及全部参考资料和有关附件，已经了解我方对于招标文件、招标过程、招标结果有依法进行询问、质疑、投诉的权利及相关渠道和要求。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2.我方完全理解并接受招标文件的各项规定和要求，对招标文件的合理性、合法性不再有异议。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3.我方愿意按照招标文件规定的各项要求，向招标人提供合格的服务。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4.我方同意从招标文件规定的开标日期起遵循本投标投标文件，并在招标文件规定的招标有效期内均具有约束力。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5.如我方中标，本投标文件至本项目合同履行完毕止均保持有效，本投标人将按“招标文件”及法律、法规的规定履行合同责任和义务。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 邮编：</w:t>
      </w:r>
    </w:p>
    <w:p>
      <w:pPr>
        <w:spacing w:after="0" w:line="360" w:lineRule="auto"/>
        <w:rPr>
          <w:rFonts w:ascii="宋体" w:hAnsi="宋体" w:eastAsia="宋体"/>
          <w:sz w:val="24"/>
          <w:szCs w:val="24"/>
          <w:u w:val="single"/>
        </w:rPr>
      </w:pPr>
      <w:r>
        <w:rPr>
          <w:rFonts w:hint="eastAsia" w:ascii="宋体" w:hAnsi="宋体" w:eastAsia="宋体"/>
          <w:sz w:val="24"/>
          <w:szCs w:val="24"/>
        </w:rPr>
        <w:t>电话：传真：电子信箱：</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日期：年月日</w:t>
      </w:r>
    </w:p>
    <w:p>
      <w:pPr>
        <w:spacing w:after="0" w:line="360" w:lineRule="auto"/>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仿宋" w:hAnsi="仿宋" w:eastAsia="仿宋"/>
          <w:sz w:val="24"/>
          <w:szCs w:val="24"/>
        </w:rPr>
      </w:pPr>
      <w:r>
        <w:rPr>
          <w:rFonts w:hint="eastAsia" w:ascii="仿宋" w:hAnsi="仿宋" w:eastAsia="仿宋"/>
          <w:sz w:val="24"/>
          <w:szCs w:val="24"/>
        </w:rPr>
        <w:t>4.商务文件格式</w:t>
      </w:r>
    </w:p>
    <w:p>
      <w:pPr>
        <w:spacing w:line="220" w:lineRule="atLeast"/>
        <w:rPr>
          <w:rFonts w:ascii="仿宋" w:hAnsi="仿宋" w:eastAsia="仿宋"/>
          <w:sz w:val="24"/>
          <w:szCs w:val="24"/>
        </w:rPr>
      </w:pPr>
      <w:r>
        <w:rPr>
          <w:rFonts w:hint="eastAsia" w:ascii="仿宋" w:hAnsi="仿宋" w:eastAsia="仿宋"/>
          <w:sz w:val="24"/>
          <w:szCs w:val="24"/>
        </w:rPr>
        <w:t>4.1商务文件目录</w:t>
      </w:r>
    </w:p>
    <w:p>
      <w:pPr>
        <w:spacing w:line="220" w:lineRule="atLeast"/>
        <w:rPr>
          <w:rFonts w:ascii="仿宋" w:hAnsi="仿宋" w:eastAsia="仿宋"/>
          <w:sz w:val="24"/>
          <w:szCs w:val="24"/>
        </w:rPr>
      </w:pPr>
      <w:r>
        <w:rPr>
          <w:rFonts w:hint="eastAsia" w:ascii="仿宋" w:hAnsi="仿宋" w:eastAsia="仿宋"/>
          <w:sz w:val="24"/>
          <w:szCs w:val="24"/>
        </w:rPr>
        <w:t>（1）法定代表人授权委托书（格式附后）</w:t>
      </w:r>
    </w:p>
    <w:p>
      <w:pPr>
        <w:spacing w:line="220" w:lineRule="atLeast"/>
        <w:rPr>
          <w:rFonts w:ascii="仿宋" w:hAnsi="仿宋" w:eastAsia="仿宋"/>
          <w:sz w:val="24"/>
          <w:szCs w:val="24"/>
        </w:rPr>
      </w:pPr>
      <w:r>
        <w:rPr>
          <w:rFonts w:hint="eastAsia" w:ascii="仿宋" w:hAnsi="仿宋" w:eastAsia="仿宋"/>
          <w:sz w:val="24"/>
          <w:szCs w:val="24"/>
        </w:rPr>
        <w:t>（2）证明投标人合格的资格文件</w:t>
      </w:r>
    </w:p>
    <w:p>
      <w:pPr>
        <w:spacing w:line="220" w:lineRule="atLeast"/>
        <w:rPr>
          <w:rFonts w:ascii="仿宋" w:hAnsi="仿宋" w:eastAsia="仿宋"/>
          <w:sz w:val="24"/>
          <w:szCs w:val="24"/>
        </w:rPr>
      </w:pPr>
      <w:r>
        <w:rPr>
          <w:rFonts w:hint="eastAsia" w:ascii="仿宋" w:hAnsi="仿宋" w:eastAsia="仿宋"/>
          <w:sz w:val="24"/>
          <w:szCs w:val="24"/>
        </w:rPr>
        <w:t>（3）投标人业绩</w:t>
      </w:r>
    </w:p>
    <w:p>
      <w:pPr>
        <w:spacing w:after="0" w:line="360" w:lineRule="auto"/>
        <w:jc w:val="both"/>
        <w:rPr>
          <w:rFonts w:ascii="仿宋" w:hAnsi="仿宋" w:eastAsia="仿宋"/>
          <w:sz w:val="24"/>
          <w:szCs w:val="24"/>
        </w:rPr>
      </w:pPr>
      <w:r>
        <w:rPr>
          <w:rFonts w:hint="eastAsia" w:ascii="仿宋" w:hAnsi="仿宋" w:eastAsia="仿宋"/>
          <w:kern w:val="10"/>
          <w:sz w:val="24"/>
          <w:szCs w:val="24"/>
        </w:rPr>
        <w:t>（4）投标人在参加投标活动前三年内，在经营活动中没有重大违法记录（提供书面声明）；没有不良行为记录（提供信用中国查询截图）。</w:t>
      </w:r>
    </w:p>
    <w:p>
      <w:pPr>
        <w:spacing w:after="0" w:line="360" w:lineRule="auto"/>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kern w:val="10"/>
          <w:sz w:val="24"/>
          <w:szCs w:val="24"/>
        </w:rPr>
        <w:t>根据《关于落实</w:t>
      </w:r>
      <w:r>
        <w:rPr>
          <w:rFonts w:ascii="仿宋" w:hAnsi="仿宋" w:eastAsia="仿宋"/>
          <w:kern w:val="10"/>
          <w:sz w:val="24"/>
          <w:szCs w:val="24"/>
        </w:rPr>
        <w:t>&lt;</w:t>
      </w:r>
      <w:r>
        <w:rPr>
          <w:rFonts w:hint="eastAsia" w:ascii="仿宋" w:hAnsi="仿宋" w:eastAsia="仿宋"/>
          <w:kern w:val="10"/>
          <w:sz w:val="24"/>
          <w:szCs w:val="24"/>
        </w:rPr>
        <w:t>恩施州建设领域劳动者工资支付保障实施方法</w:t>
      </w:r>
      <w:r>
        <w:rPr>
          <w:rFonts w:ascii="仿宋" w:hAnsi="仿宋" w:eastAsia="仿宋"/>
          <w:kern w:val="10"/>
          <w:sz w:val="24"/>
          <w:szCs w:val="24"/>
        </w:rPr>
        <w:t>&gt;</w:t>
      </w:r>
      <w:r>
        <w:rPr>
          <w:rFonts w:hint="eastAsia" w:ascii="仿宋" w:hAnsi="仿宋" w:eastAsia="仿宋"/>
          <w:kern w:val="10"/>
          <w:sz w:val="24"/>
          <w:szCs w:val="24"/>
        </w:rPr>
        <w:t>相关规定的意见》的补充通知（恩施州人社函</w:t>
      </w:r>
      <w:r>
        <w:rPr>
          <w:rFonts w:ascii="仿宋" w:hAnsi="仿宋" w:eastAsia="仿宋"/>
          <w:kern w:val="10"/>
          <w:sz w:val="24"/>
          <w:szCs w:val="24"/>
        </w:rPr>
        <w:t>[2017]35</w:t>
      </w:r>
      <w:r>
        <w:rPr>
          <w:rFonts w:hint="eastAsia" w:ascii="仿宋" w:hAnsi="仿宋" w:eastAsia="仿宋"/>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line="220" w:lineRule="atLeast"/>
        <w:rPr>
          <w:rFonts w:ascii="仿宋" w:hAnsi="仿宋" w:eastAsia="仿宋"/>
          <w:sz w:val="24"/>
          <w:szCs w:val="24"/>
        </w:rPr>
      </w:pPr>
      <w:r>
        <w:rPr>
          <w:rFonts w:hint="eastAsia" w:ascii="仿宋" w:hAnsi="仿宋" w:eastAsia="仿宋"/>
          <w:sz w:val="24"/>
          <w:szCs w:val="24"/>
        </w:rPr>
        <w:t>（6）投标人认为需要提交的其他材料（如有）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致：（招标人）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姓名）是（投标人名称）的法定代表人，现授权委托本单位在职职工（姓名、职务）以我方的名义参加招标项目（编号：）的投标活动，并代表我方全权办理针对上述项目的投标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u w:val="single"/>
        </w:rPr>
        <w:t>在撤销授权的书面通知到达被授权人以前，本授权书一直有效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年月日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Theme="minorEastAsia" w:hAnsiTheme="minorEastAsia" w:eastAsiaTheme="minorEastAsia"/>
          <w:sz w:val="24"/>
          <w:szCs w:val="24"/>
        </w:rPr>
      </w:pPr>
      <w:r>
        <w:rPr>
          <w:rFonts w:hint="eastAsia" w:ascii="宋体" w:hAnsi="宋体" w:eastAsia="宋体"/>
          <w:sz w:val="24"/>
          <w:szCs w:val="24"/>
        </w:rPr>
        <w:t>（2）无犯罪记录告知函；</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4投标人业绩。近三年承接的类似项目业绩（格式自拟）</w:t>
      </w:r>
    </w:p>
    <w:p>
      <w:pPr>
        <w:spacing w:after="0" w:line="360" w:lineRule="auto"/>
        <w:jc w:val="both"/>
        <w:rPr>
          <w:rFonts w:ascii="宋体" w:hAnsi="宋体" w:eastAsia="宋体"/>
          <w:sz w:val="24"/>
          <w:szCs w:val="24"/>
        </w:rPr>
      </w:pPr>
      <w:r>
        <w:rPr>
          <w:rFonts w:hint="eastAsia" w:ascii="宋体" w:hAnsi="宋体" w:eastAsia="宋体"/>
          <w:kern w:val="10"/>
          <w:sz w:val="24"/>
          <w:szCs w:val="24"/>
        </w:rPr>
        <w:t>4.5投标人在参加投标活动前三年内，在经营活动中没有重大违法记录的书面声明；信用中国查询截图。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4.6</w:t>
      </w:r>
      <w:r>
        <w:rPr>
          <w:rFonts w:hint="eastAsia" w:ascii="宋体" w:hAnsi="宋体" w:eastAsia="宋体"/>
          <w:kern w:val="10"/>
          <w:sz w:val="24"/>
          <w:szCs w:val="24"/>
        </w:rPr>
        <w:t>不拖欠劳动者工资承诺书</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7投标人认为需要提交的其他材料（如有）</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注：以上材料中招标文件规定需在开标会上提供原件的，除在投标文件中提供相关材料复印件以外，还需在开标会上提供原件。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5.技术文件格式</w:t>
      </w:r>
    </w:p>
    <w:p>
      <w:pPr>
        <w:spacing w:after="0" w:line="360" w:lineRule="auto"/>
        <w:rPr>
          <w:rFonts w:ascii="宋体" w:hAnsi="宋体" w:eastAsia="宋体"/>
          <w:sz w:val="24"/>
          <w:szCs w:val="24"/>
        </w:rPr>
      </w:pPr>
      <w:r>
        <w:rPr>
          <w:rFonts w:hint="eastAsia" w:ascii="宋体" w:hAnsi="宋体" w:eastAsia="宋体"/>
          <w:sz w:val="24"/>
          <w:szCs w:val="24"/>
        </w:rPr>
        <w:t>5.1技术文件目录</w:t>
      </w:r>
    </w:p>
    <w:p>
      <w:pPr>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（1）服务方案（格式自拟）； </w:t>
      </w:r>
    </w:p>
    <w:p>
      <w:pPr>
        <w:spacing w:after="0" w:line="360" w:lineRule="auto"/>
        <w:rPr>
          <w:rFonts w:ascii="宋体" w:hAnsi="宋体" w:eastAsia="宋体"/>
          <w:sz w:val="24"/>
          <w:szCs w:val="24"/>
        </w:rPr>
      </w:pPr>
      <w:r>
        <w:rPr>
          <w:rFonts w:hint="eastAsia" w:asciiTheme="minorEastAsia" w:hAnsiTheme="minorEastAsia" w:eastAsiaTheme="minorEastAsia"/>
          <w:sz w:val="24"/>
          <w:szCs w:val="24"/>
        </w:rPr>
        <w:t>（2）投标人需要说明的其他文件和说明（如有）。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5.2服务方案（格式自拟）。根据评分细则编制。</w:t>
      </w:r>
    </w:p>
    <w:p>
      <w:pPr>
        <w:spacing w:after="0" w:line="360" w:lineRule="auto"/>
        <w:rPr>
          <w:rFonts w:ascii="宋体" w:hAnsi="宋体" w:eastAsia="宋体"/>
          <w:sz w:val="24"/>
          <w:szCs w:val="24"/>
        </w:rPr>
      </w:pPr>
      <w:r>
        <w:rPr>
          <w:rFonts w:hint="eastAsia" w:ascii="宋体" w:hAnsi="宋体" w:eastAsia="宋体"/>
          <w:sz w:val="24"/>
          <w:szCs w:val="24"/>
        </w:rPr>
        <w:t>5.3投标人需要说明的其他文件和说明。</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sectPr>
      <w:footerReference r:id="rId4" w:type="default"/>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文本框 1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TCzY25AQAAVQMAAA4AAAAAAAAAAQAgAAAAHgEAAGRycy9lMm9Eb2MueG1sUEsFBgAAAAAGAAYA&#10;WQEAAEkFAAAAAA==&#1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21</w:t>
                </w:r>
                <w:r>
                  <w:fldChar w:fldCharType="end"/>
                </w:r>
              </w:p>
            </w:txbxContent>
          </v:textbox>
        </v:shape>
      </w:pic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ascii="仿宋" w:hAnsi="仿宋" w:eastAsia="仿宋"/>
      </w:rPr>
    </w:pPr>
    <w:r>
      <w:rPr>
        <w:rFonts w:hint="eastAsia" w:ascii="仿宋" w:hAnsi="仿宋" w:eastAsia="仿宋"/>
      </w:rPr>
      <w:t>恩施旅游集团有限公司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D31D50"/>
    <w:rsid w:val="000004C7"/>
    <w:rsid w:val="00012209"/>
    <w:rsid w:val="000360A6"/>
    <w:rsid w:val="00036B92"/>
    <w:rsid w:val="0003727E"/>
    <w:rsid w:val="0004190F"/>
    <w:rsid w:val="00042AF8"/>
    <w:rsid w:val="00047AFD"/>
    <w:rsid w:val="000519B3"/>
    <w:rsid w:val="0005270B"/>
    <w:rsid w:val="00052FE1"/>
    <w:rsid w:val="00055379"/>
    <w:rsid w:val="0007675E"/>
    <w:rsid w:val="00083238"/>
    <w:rsid w:val="000875F6"/>
    <w:rsid w:val="0008776F"/>
    <w:rsid w:val="00094F7B"/>
    <w:rsid w:val="000A087F"/>
    <w:rsid w:val="000C26B0"/>
    <w:rsid w:val="000C334E"/>
    <w:rsid w:val="000E559A"/>
    <w:rsid w:val="000F10B2"/>
    <w:rsid w:val="000F227F"/>
    <w:rsid w:val="000F441F"/>
    <w:rsid w:val="000F4D3B"/>
    <w:rsid w:val="000F5A28"/>
    <w:rsid w:val="000F6F22"/>
    <w:rsid w:val="000F7B0A"/>
    <w:rsid w:val="00111D26"/>
    <w:rsid w:val="00114D37"/>
    <w:rsid w:val="00127A1A"/>
    <w:rsid w:val="00132C4F"/>
    <w:rsid w:val="00132DFB"/>
    <w:rsid w:val="00133894"/>
    <w:rsid w:val="001351D1"/>
    <w:rsid w:val="00162FD4"/>
    <w:rsid w:val="00165BD7"/>
    <w:rsid w:val="00167945"/>
    <w:rsid w:val="00173079"/>
    <w:rsid w:val="00176E67"/>
    <w:rsid w:val="00177D7B"/>
    <w:rsid w:val="00184787"/>
    <w:rsid w:val="001870AD"/>
    <w:rsid w:val="00193302"/>
    <w:rsid w:val="001A1768"/>
    <w:rsid w:val="001A1FF0"/>
    <w:rsid w:val="001A3A40"/>
    <w:rsid w:val="001A4938"/>
    <w:rsid w:val="001A50C4"/>
    <w:rsid w:val="001B031E"/>
    <w:rsid w:val="001B0969"/>
    <w:rsid w:val="001C3103"/>
    <w:rsid w:val="001D1690"/>
    <w:rsid w:val="001D274D"/>
    <w:rsid w:val="001D4382"/>
    <w:rsid w:val="001E6148"/>
    <w:rsid w:val="001F1622"/>
    <w:rsid w:val="001F3D29"/>
    <w:rsid w:val="00202B05"/>
    <w:rsid w:val="0021661E"/>
    <w:rsid w:val="00217B09"/>
    <w:rsid w:val="00223324"/>
    <w:rsid w:val="00227304"/>
    <w:rsid w:val="0023462C"/>
    <w:rsid w:val="00242459"/>
    <w:rsid w:val="002469F2"/>
    <w:rsid w:val="00246AFC"/>
    <w:rsid w:val="0024752B"/>
    <w:rsid w:val="00250D93"/>
    <w:rsid w:val="00252993"/>
    <w:rsid w:val="00252A81"/>
    <w:rsid w:val="00264C7C"/>
    <w:rsid w:val="00267E5A"/>
    <w:rsid w:val="00286DE8"/>
    <w:rsid w:val="00294F98"/>
    <w:rsid w:val="002A35A2"/>
    <w:rsid w:val="002A43BB"/>
    <w:rsid w:val="002B127C"/>
    <w:rsid w:val="002C13A3"/>
    <w:rsid w:val="002C169D"/>
    <w:rsid w:val="002C3102"/>
    <w:rsid w:val="002C6369"/>
    <w:rsid w:val="002C6BDD"/>
    <w:rsid w:val="002D3C76"/>
    <w:rsid w:val="002D7E51"/>
    <w:rsid w:val="002E2378"/>
    <w:rsid w:val="002E3EB6"/>
    <w:rsid w:val="002F0D36"/>
    <w:rsid w:val="002F25F7"/>
    <w:rsid w:val="002F39CC"/>
    <w:rsid w:val="002F5E95"/>
    <w:rsid w:val="0030189B"/>
    <w:rsid w:val="003047B2"/>
    <w:rsid w:val="0031615C"/>
    <w:rsid w:val="003173B3"/>
    <w:rsid w:val="003225C3"/>
    <w:rsid w:val="0032287C"/>
    <w:rsid w:val="00323B43"/>
    <w:rsid w:val="00331B56"/>
    <w:rsid w:val="00332912"/>
    <w:rsid w:val="0033317C"/>
    <w:rsid w:val="003334E3"/>
    <w:rsid w:val="00333C32"/>
    <w:rsid w:val="00334418"/>
    <w:rsid w:val="00335D76"/>
    <w:rsid w:val="003449B4"/>
    <w:rsid w:val="00350A3A"/>
    <w:rsid w:val="0036129E"/>
    <w:rsid w:val="00362F2D"/>
    <w:rsid w:val="003700BF"/>
    <w:rsid w:val="0037667B"/>
    <w:rsid w:val="0037686F"/>
    <w:rsid w:val="00381CB6"/>
    <w:rsid w:val="00383D51"/>
    <w:rsid w:val="0038567B"/>
    <w:rsid w:val="00385C8B"/>
    <w:rsid w:val="00387BE0"/>
    <w:rsid w:val="00390705"/>
    <w:rsid w:val="003A4BDE"/>
    <w:rsid w:val="003B7ED7"/>
    <w:rsid w:val="003C117E"/>
    <w:rsid w:val="003C34C5"/>
    <w:rsid w:val="003C4E07"/>
    <w:rsid w:val="003D37D8"/>
    <w:rsid w:val="003D6E03"/>
    <w:rsid w:val="003D7174"/>
    <w:rsid w:val="003E1521"/>
    <w:rsid w:val="003E1ECB"/>
    <w:rsid w:val="003F1192"/>
    <w:rsid w:val="00403738"/>
    <w:rsid w:val="004071FE"/>
    <w:rsid w:val="004221F4"/>
    <w:rsid w:val="00424DC3"/>
    <w:rsid w:val="004252ED"/>
    <w:rsid w:val="00426133"/>
    <w:rsid w:val="0042699E"/>
    <w:rsid w:val="00433E1E"/>
    <w:rsid w:val="004358AB"/>
    <w:rsid w:val="00441A37"/>
    <w:rsid w:val="004447F9"/>
    <w:rsid w:val="00445426"/>
    <w:rsid w:val="00446A96"/>
    <w:rsid w:val="0045215E"/>
    <w:rsid w:val="00455DF0"/>
    <w:rsid w:val="00460BF0"/>
    <w:rsid w:val="00462087"/>
    <w:rsid w:val="004663AB"/>
    <w:rsid w:val="00472F2A"/>
    <w:rsid w:val="004750FC"/>
    <w:rsid w:val="004818CA"/>
    <w:rsid w:val="00481E4C"/>
    <w:rsid w:val="0048474C"/>
    <w:rsid w:val="004877DC"/>
    <w:rsid w:val="00490164"/>
    <w:rsid w:val="004909F4"/>
    <w:rsid w:val="004A1198"/>
    <w:rsid w:val="004A4D48"/>
    <w:rsid w:val="004B544E"/>
    <w:rsid w:val="004D2FE2"/>
    <w:rsid w:val="004E52BF"/>
    <w:rsid w:val="004E5CD7"/>
    <w:rsid w:val="004F02B1"/>
    <w:rsid w:val="004F031E"/>
    <w:rsid w:val="004F0DB5"/>
    <w:rsid w:val="004F2D65"/>
    <w:rsid w:val="004F55C4"/>
    <w:rsid w:val="004F74FF"/>
    <w:rsid w:val="005031C8"/>
    <w:rsid w:val="00511FF2"/>
    <w:rsid w:val="005126CC"/>
    <w:rsid w:val="00515441"/>
    <w:rsid w:val="0051582B"/>
    <w:rsid w:val="00515D2A"/>
    <w:rsid w:val="005208CA"/>
    <w:rsid w:val="00520D01"/>
    <w:rsid w:val="005234AB"/>
    <w:rsid w:val="0053184E"/>
    <w:rsid w:val="00531A5A"/>
    <w:rsid w:val="00534818"/>
    <w:rsid w:val="00537FEA"/>
    <w:rsid w:val="00540359"/>
    <w:rsid w:val="00557924"/>
    <w:rsid w:val="00565FEA"/>
    <w:rsid w:val="00585E70"/>
    <w:rsid w:val="00592C52"/>
    <w:rsid w:val="005943E7"/>
    <w:rsid w:val="0059786E"/>
    <w:rsid w:val="005B2AA2"/>
    <w:rsid w:val="005B441D"/>
    <w:rsid w:val="005B53C9"/>
    <w:rsid w:val="005B5D70"/>
    <w:rsid w:val="005C16BE"/>
    <w:rsid w:val="005C2E5B"/>
    <w:rsid w:val="005C661D"/>
    <w:rsid w:val="005C689F"/>
    <w:rsid w:val="005D0BD2"/>
    <w:rsid w:val="005D36DE"/>
    <w:rsid w:val="005D44C1"/>
    <w:rsid w:val="005D6F19"/>
    <w:rsid w:val="005E21CA"/>
    <w:rsid w:val="005E4E3B"/>
    <w:rsid w:val="005E667F"/>
    <w:rsid w:val="005E73D6"/>
    <w:rsid w:val="005E7590"/>
    <w:rsid w:val="005F3258"/>
    <w:rsid w:val="006047B7"/>
    <w:rsid w:val="006064CA"/>
    <w:rsid w:val="0061008B"/>
    <w:rsid w:val="00610DCD"/>
    <w:rsid w:val="0062043F"/>
    <w:rsid w:val="0062457E"/>
    <w:rsid w:val="00625DB7"/>
    <w:rsid w:val="00626233"/>
    <w:rsid w:val="00627B5C"/>
    <w:rsid w:val="00627B85"/>
    <w:rsid w:val="00634515"/>
    <w:rsid w:val="0064141F"/>
    <w:rsid w:val="0064563E"/>
    <w:rsid w:val="0064599F"/>
    <w:rsid w:val="00646311"/>
    <w:rsid w:val="006474DA"/>
    <w:rsid w:val="00647639"/>
    <w:rsid w:val="00650502"/>
    <w:rsid w:val="00654F1D"/>
    <w:rsid w:val="00655B56"/>
    <w:rsid w:val="00656056"/>
    <w:rsid w:val="006572B7"/>
    <w:rsid w:val="0066215E"/>
    <w:rsid w:val="00664A25"/>
    <w:rsid w:val="00674CCE"/>
    <w:rsid w:val="00675C25"/>
    <w:rsid w:val="00681238"/>
    <w:rsid w:val="00684D2D"/>
    <w:rsid w:val="006871ED"/>
    <w:rsid w:val="00687C61"/>
    <w:rsid w:val="0069529C"/>
    <w:rsid w:val="0069693E"/>
    <w:rsid w:val="00697184"/>
    <w:rsid w:val="006A17D9"/>
    <w:rsid w:val="006A30CA"/>
    <w:rsid w:val="006A336C"/>
    <w:rsid w:val="006A6113"/>
    <w:rsid w:val="006B247F"/>
    <w:rsid w:val="006B25EC"/>
    <w:rsid w:val="006B2C76"/>
    <w:rsid w:val="006C0F44"/>
    <w:rsid w:val="006C3D96"/>
    <w:rsid w:val="006E7D8F"/>
    <w:rsid w:val="006F4872"/>
    <w:rsid w:val="006F7187"/>
    <w:rsid w:val="006F728A"/>
    <w:rsid w:val="00705A08"/>
    <w:rsid w:val="007075B8"/>
    <w:rsid w:val="00710472"/>
    <w:rsid w:val="00710F6A"/>
    <w:rsid w:val="00714765"/>
    <w:rsid w:val="00716ADE"/>
    <w:rsid w:val="00722019"/>
    <w:rsid w:val="0072287B"/>
    <w:rsid w:val="007317FD"/>
    <w:rsid w:val="007343AC"/>
    <w:rsid w:val="007346C9"/>
    <w:rsid w:val="00742583"/>
    <w:rsid w:val="00743A88"/>
    <w:rsid w:val="00745E76"/>
    <w:rsid w:val="0075050A"/>
    <w:rsid w:val="0076051E"/>
    <w:rsid w:val="00760F46"/>
    <w:rsid w:val="00765FF5"/>
    <w:rsid w:val="00773049"/>
    <w:rsid w:val="00783EBF"/>
    <w:rsid w:val="007850E7"/>
    <w:rsid w:val="0079249E"/>
    <w:rsid w:val="00792819"/>
    <w:rsid w:val="00794993"/>
    <w:rsid w:val="007A2D77"/>
    <w:rsid w:val="007C67E6"/>
    <w:rsid w:val="007D5D27"/>
    <w:rsid w:val="007E356F"/>
    <w:rsid w:val="007E7B59"/>
    <w:rsid w:val="007F046F"/>
    <w:rsid w:val="008016CD"/>
    <w:rsid w:val="00813250"/>
    <w:rsid w:val="008207A1"/>
    <w:rsid w:val="00827C05"/>
    <w:rsid w:val="00830C3C"/>
    <w:rsid w:val="008325CD"/>
    <w:rsid w:val="00842211"/>
    <w:rsid w:val="008568B2"/>
    <w:rsid w:val="008607CE"/>
    <w:rsid w:val="00864867"/>
    <w:rsid w:val="00867676"/>
    <w:rsid w:val="008805F3"/>
    <w:rsid w:val="008824F9"/>
    <w:rsid w:val="00882B70"/>
    <w:rsid w:val="00885040"/>
    <w:rsid w:val="0088588C"/>
    <w:rsid w:val="0089211C"/>
    <w:rsid w:val="00892220"/>
    <w:rsid w:val="008926AF"/>
    <w:rsid w:val="00894661"/>
    <w:rsid w:val="00895763"/>
    <w:rsid w:val="008B6DF3"/>
    <w:rsid w:val="008B7726"/>
    <w:rsid w:val="008C5129"/>
    <w:rsid w:val="008D6805"/>
    <w:rsid w:val="008E6831"/>
    <w:rsid w:val="008E6C22"/>
    <w:rsid w:val="008F2288"/>
    <w:rsid w:val="008F2A06"/>
    <w:rsid w:val="008F39B1"/>
    <w:rsid w:val="008F4B24"/>
    <w:rsid w:val="0090004A"/>
    <w:rsid w:val="00905769"/>
    <w:rsid w:val="00911061"/>
    <w:rsid w:val="00911A94"/>
    <w:rsid w:val="00914489"/>
    <w:rsid w:val="00916891"/>
    <w:rsid w:val="00916E4D"/>
    <w:rsid w:val="00923F8F"/>
    <w:rsid w:val="00925823"/>
    <w:rsid w:val="0092799F"/>
    <w:rsid w:val="00930036"/>
    <w:rsid w:val="00933F19"/>
    <w:rsid w:val="00935AFD"/>
    <w:rsid w:val="00940F36"/>
    <w:rsid w:val="009411D7"/>
    <w:rsid w:val="00941D4A"/>
    <w:rsid w:val="00944DD6"/>
    <w:rsid w:val="0094733D"/>
    <w:rsid w:val="00954B05"/>
    <w:rsid w:val="00955970"/>
    <w:rsid w:val="009561FB"/>
    <w:rsid w:val="00963056"/>
    <w:rsid w:val="009652F9"/>
    <w:rsid w:val="009836D0"/>
    <w:rsid w:val="009844E4"/>
    <w:rsid w:val="00984A3F"/>
    <w:rsid w:val="00984D33"/>
    <w:rsid w:val="00986308"/>
    <w:rsid w:val="0099013F"/>
    <w:rsid w:val="00990953"/>
    <w:rsid w:val="009915BA"/>
    <w:rsid w:val="009952A6"/>
    <w:rsid w:val="009964BB"/>
    <w:rsid w:val="009977D1"/>
    <w:rsid w:val="009A2F1C"/>
    <w:rsid w:val="009C73CE"/>
    <w:rsid w:val="009D0079"/>
    <w:rsid w:val="009D4224"/>
    <w:rsid w:val="009D44EF"/>
    <w:rsid w:val="009D72C0"/>
    <w:rsid w:val="009F0DF4"/>
    <w:rsid w:val="009F2A12"/>
    <w:rsid w:val="00A037A9"/>
    <w:rsid w:val="00A06EB4"/>
    <w:rsid w:val="00A075DF"/>
    <w:rsid w:val="00A107FA"/>
    <w:rsid w:val="00A13659"/>
    <w:rsid w:val="00A13E16"/>
    <w:rsid w:val="00A20C5F"/>
    <w:rsid w:val="00A40676"/>
    <w:rsid w:val="00A40C49"/>
    <w:rsid w:val="00A41C52"/>
    <w:rsid w:val="00A41E83"/>
    <w:rsid w:val="00A42DB4"/>
    <w:rsid w:val="00A440B3"/>
    <w:rsid w:val="00A45D45"/>
    <w:rsid w:val="00A54575"/>
    <w:rsid w:val="00A55B24"/>
    <w:rsid w:val="00A67148"/>
    <w:rsid w:val="00A70A73"/>
    <w:rsid w:val="00A76A1B"/>
    <w:rsid w:val="00A86337"/>
    <w:rsid w:val="00A86991"/>
    <w:rsid w:val="00A903BB"/>
    <w:rsid w:val="00A90B95"/>
    <w:rsid w:val="00A956A8"/>
    <w:rsid w:val="00A964DB"/>
    <w:rsid w:val="00AA3B29"/>
    <w:rsid w:val="00AB12CB"/>
    <w:rsid w:val="00AC1EA3"/>
    <w:rsid w:val="00AC2E49"/>
    <w:rsid w:val="00AC2FA5"/>
    <w:rsid w:val="00AC4B8E"/>
    <w:rsid w:val="00AC739B"/>
    <w:rsid w:val="00AD30AB"/>
    <w:rsid w:val="00AD32C3"/>
    <w:rsid w:val="00AD57C1"/>
    <w:rsid w:val="00AE2FD0"/>
    <w:rsid w:val="00AE3080"/>
    <w:rsid w:val="00AE38CC"/>
    <w:rsid w:val="00AE417D"/>
    <w:rsid w:val="00AF2F25"/>
    <w:rsid w:val="00AF38F6"/>
    <w:rsid w:val="00AF4848"/>
    <w:rsid w:val="00B008D8"/>
    <w:rsid w:val="00B03221"/>
    <w:rsid w:val="00B0573F"/>
    <w:rsid w:val="00B164C3"/>
    <w:rsid w:val="00B16D31"/>
    <w:rsid w:val="00B16D99"/>
    <w:rsid w:val="00B24937"/>
    <w:rsid w:val="00B2627B"/>
    <w:rsid w:val="00B3189A"/>
    <w:rsid w:val="00B345C5"/>
    <w:rsid w:val="00B3630D"/>
    <w:rsid w:val="00B43C5E"/>
    <w:rsid w:val="00B82096"/>
    <w:rsid w:val="00B937B6"/>
    <w:rsid w:val="00BA11AC"/>
    <w:rsid w:val="00BA301F"/>
    <w:rsid w:val="00BA5359"/>
    <w:rsid w:val="00BC15D0"/>
    <w:rsid w:val="00BC6EB7"/>
    <w:rsid w:val="00BC7696"/>
    <w:rsid w:val="00BD480F"/>
    <w:rsid w:val="00BD6229"/>
    <w:rsid w:val="00BE6C92"/>
    <w:rsid w:val="00BF79EB"/>
    <w:rsid w:val="00C070FD"/>
    <w:rsid w:val="00C076DD"/>
    <w:rsid w:val="00C135D3"/>
    <w:rsid w:val="00C13CEF"/>
    <w:rsid w:val="00C172F9"/>
    <w:rsid w:val="00C248EB"/>
    <w:rsid w:val="00C259A8"/>
    <w:rsid w:val="00C25E84"/>
    <w:rsid w:val="00C43AF2"/>
    <w:rsid w:val="00C43DCF"/>
    <w:rsid w:val="00C50FB0"/>
    <w:rsid w:val="00C62271"/>
    <w:rsid w:val="00C62F72"/>
    <w:rsid w:val="00C650C8"/>
    <w:rsid w:val="00C656FE"/>
    <w:rsid w:val="00C737DE"/>
    <w:rsid w:val="00C82878"/>
    <w:rsid w:val="00C82F05"/>
    <w:rsid w:val="00C963F7"/>
    <w:rsid w:val="00CA05A3"/>
    <w:rsid w:val="00CA0ACE"/>
    <w:rsid w:val="00CA29D1"/>
    <w:rsid w:val="00CA439F"/>
    <w:rsid w:val="00CA75D6"/>
    <w:rsid w:val="00CB5542"/>
    <w:rsid w:val="00CC3E1F"/>
    <w:rsid w:val="00CC5CEF"/>
    <w:rsid w:val="00CC6C2F"/>
    <w:rsid w:val="00CD7DF4"/>
    <w:rsid w:val="00CE0000"/>
    <w:rsid w:val="00CE7082"/>
    <w:rsid w:val="00CE7EF5"/>
    <w:rsid w:val="00CF32CE"/>
    <w:rsid w:val="00CF6BEB"/>
    <w:rsid w:val="00D12CBB"/>
    <w:rsid w:val="00D13765"/>
    <w:rsid w:val="00D16239"/>
    <w:rsid w:val="00D16867"/>
    <w:rsid w:val="00D31D50"/>
    <w:rsid w:val="00D40438"/>
    <w:rsid w:val="00D40691"/>
    <w:rsid w:val="00D41463"/>
    <w:rsid w:val="00D44519"/>
    <w:rsid w:val="00D5611D"/>
    <w:rsid w:val="00D636A1"/>
    <w:rsid w:val="00D647F0"/>
    <w:rsid w:val="00D65D00"/>
    <w:rsid w:val="00D720DB"/>
    <w:rsid w:val="00D729C7"/>
    <w:rsid w:val="00D76F06"/>
    <w:rsid w:val="00D86B3C"/>
    <w:rsid w:val="00D97C58"/>
    <w:rsid w:val="00DA00AF"/>
    <w:rsid w:val="00DA0D5A"/>
    <w:rsid w:val="00DA5594"/>
    <w:rsid w:val="00DB1D8A"/>
    <w:rsid w:val="00DB55D9"/>
    <w:rsid w:val="00DB69F6"/>
    <w:rsid w:val="00DC1225"/>
    <w:rsid w:val="00DC1AB3"/>
    <w:rsid w:val="00DC46B7"/>
    <w:rsid w:val="00DC4D1D"/>
    <w:rsid w:val="00DD26A4"/>
    <w:rsid w:val="00DD778C"/>
    <w:rsid w:val="00DE6F75"/>
    <w:rsid w:val="00DF5460"/>
    <w:rsid w:val="00E0029E"/>
    <w:rsid w:val="00E040CD"/>
    <w:rsid w:val="00E1197B"/>
    <w:rsid w:val="00E11C75"/>
    <w:rsid w:val="00E17CAC"/>
    <w:rsid w:val="00E22600"/>
    <w:rsid w:val="00E26B00"/>
    <w:rsid w:val="00E43A3A"/>
    <w:rsid w:val="00E468B4"/>
    <w:rsid w:val="00E469EB"/>
    <w:rsid w:val="00E55851"/>
    <w:rsid w:val="00E56CC2"/>
    <w:rsid w:val="00E5736B"/>
    <w:rsid w:val="00E66DC7"/>
    <w:rsid w:val="00E67AAA"/>
    <w:rsid w:val="00E72F66"/>
    <w:rsid w:val="00E743D1"/>
    <w:rsid w:val="00E74837"/>
    <w:rsid w:val="00E750A8"/>
    <w:rsid w:val="00E7785A"/>
    <w:rsid w:val="00E8024F"/>
    <w:rsid w:val="00E8393D"/>
    <w:rsid w:val="00E83E54"/>
    <w:rsid w:val="00E86DC6"/>
    <w:rsid w:val="00E9244B"/>
    <w:rsid w:val="00EA02F6"/>
    <w:rsid w:val="00EA3B6B"/>
    <w:rsid w:val="00EA4834"/>
    <w:rsid w:val="00EB2030"/>
    <w:rsid w:val="00EB6919"/>
    <w:rsid w:val="00EB6D71"/>
    <w:rsid w:val="00EB7FD0"/>
    <w:rsid w:val="00EC02B3"/>
    <w:rsid w:val="00ED17A0"/>
    <w:rsid w:val="00ED1ABD"/>
    <w:rsid w:val="00ED5750"/>
    <w:rsid w:val="00ED5A4E"/>
    <w:rsid w:val="00ED7CEF"/>
    <w:rsid w:val="00EE2045"/>
    <w:rsid w:val="00EF475D"/>
    <w:rsid w:val="00F00848"/>
    <w:rsid w:val="00F11EEF"/>
    <w:rsid w:val="00F122C3"/>
    <w:rsid w:val="00F132A5"/>
    <w:rsid w:val="00F17CA0"/>
    <w:rsid w:val="00F3592C"/>
    <w:rsid w:val="00F418B4"/>
    <w:rsid w:val="00F46CAE"/>
    <w:rsid w:val="00F640EA"/>
    <w:rsid w:val="00F642B7"/>
    <w:rsid w:val="00F675FB"/>
    <w:rsid w:val="00F81E75"/>
    <w:rsid w:val="00F83235"/>
    <w:rsid w:val="00F86B97"/>
    <w:rsid w:val="00F97FA2"/>
    <w:rsid w:val="00FA5B1E"/>
    <w:rsid w:val="00FB1E94"/>
    <w:rsid w:val="00FE136E"/>
    <w:rsid w:val="00FE2253"/>
    <w:rsid w:val="00FE789B"/>
    <w:rsid w:val="0CFD0344"/>
    <w:rsid w:val="0E153B53"/>
    <w:rsid w:val="20854465"/>
    <w:rsid w:val="20D35604"/>
    <w:rsid w:val="21FB6F24"/>
    <w:rsid w:val="25F76659"/>
    <w:rsid w:val="2B30339E"/>
    <w:rsid w:val="2B58639F"/>
    <w:rsid w:val="2B655A3D"/>
    <w:rsid w:val="2F0C5F92"/>
    <w:rsid w:val="34285041"/>
    <w:rsid w:val="38A36290"/>
    <w:rsid w:val="3DFA286C"/>
    <w:rsid w:val="3E18482E"/>
    <w:rsid w:val="412A155E"/>
    <w:rsid w:val="418C4EF5"/>
    <w:rsid w:val="44E77034"/>
    <w:rsid w:val="47EF1C3D"/>
    <w:rsid w:val="4C034CB2"/>
    <w:rsid w:val="4F4F2041"/>
    <w:rsid w:val="509202F4"/>
    <w:rsid w:val="52DD5916"/>
    <w:rsid w:val="53CA3199"/>
    <w:rsid w:val="57570D84"/>
    <w:rsid w:val="57DD0D25"/>
    <w:rsid w:val="57F00B85"/>
    <w:rsid w:val="5A36645F"/>
    <w:rsid w:val="60357382"/>
    <w:rsid w:val="6B1172DC"/>
    <w:rsid w:val="73275CF4"/>
    <w:rsid w:val="74AD0C98"/>
    <w:rsid w:val="757B3DBA"/>
    <w:rsid w:val="78F32897"/>
    <w:rsid w:val="7B2F1762"/>
    <w:rsid w:val="7DFD4725"/>
    <w:rsid w:val="7F7E03B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53"/>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5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4"/>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55"/>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6">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91"/>
    <w:qFormat/>
    <w:uiPriority w:val="0"/>
    <w:pPr>
      <w:keepNext/>
      <w:keepLines/>
      <w:tabs>
        <w:tab w:val="left" w:pos="1440"/>
      </w:tabs>
      <w:adjustRightInd/>
      <w:snapToGrid/>
      <w:spacing w:before="240" w:after="64" w:line="319" w:lineRule="auto"/>
      <w:ind w:left="1152" w:hanging="1152"/>
      <w:outlineLvl w:val="5"/>
    </w:pPr>
    <w:rPr>
      <w:rFonts w:ascii="Arial" w:hAnsi="Arial" w:eastAsia="黑体" w:cs="Times New Roman"/>
      <w:b/>
      <w:bCs/>
      <w:sz w:val="24"/>
      <w:szCs w:val="24"/>
    </w:rPr>
  </w:style>
  <w:style w:type="paragraph" w:styleId="8">
    <w:name w:val="heading 7"/>
    <w:basedOn w:val="1"/>
    <w:next w:val="1"/>
    <w:link w:val="92"/>
    <w:qFormat/>
    <w:uiPriority w:val="0"/>
    <w:pPr>
      <w:keepNext/>
      <w:keepLines/>
      <w:tabs>
        <w:tab w:val="left" w:pos="2520"/>
      </w:tabs>
      <w:adjustRightInd/>
      <w:snapToGrid/>
      <w:spacing w:before="240" w:after="64" w:line="319"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93"/>
    <w:qFormat/>
    <w:uiPriority w:val="0"/>
    <w:pPr>
      <w:keepNext/>
      <w:keepLines/>
      <w:tabs>
        <w:tab w:val="left" w:pos="1440"/>
      </w:tabs>
      <w:adjustRightInd/>
      <w:snapToGrid/>
      <w:spacing w:before="240" w:after="64" w:line="319" w:lineRule="auto"/>
      <w:ind w:left="1440" w:hanging="1440"/>
      <w:outlineLvl w:val="7"/>
    </w:pPr>
    <w:rPr>
      <w:rFonts w:ascii="Arial" w:hAnsi="Arial" w:eastAsia="黑体" w:cs="Times New Roman"/>
      <w:sz w:val="24"/>
      <w:szCs w:val="24"/>
    </w:rPr>
  </w:style>
  <w:style w:type="paragraph" w:styleId="10">
    <w:name w:val="heading 9"/>
    <w:basedOn w:val="1"/>
    <w:next w:val="1"/>
    <w:link w:val="94"/>
    <w:qFormat/>
    <w:uiPriority w:val="0"/>
    <w:pPr>
      <w:keepNext/>
      <w:keepLines/>
      <w:tabs>
        <w:tab w:val="left" w:pos="1584"/>
      </w:tabs>
      <w:adjustRightInd/>
      <w:snapToGrid/>
      <w:spacing w:before="240" w:after="64" w:line="319" w:lineRule="auto"/>
      <w:ind w:left="1584" w:hanging="1584"/>
      <w:outlineLvl w:val="8"/>
    </w:pPr>
    <w:rPr>
      <w:rFonts w:ascii="Arial" w:hAnsi="Arial" w:eastAsia="黑体" w:cs="Times New Roman"/>
      <w:sz w:val="21"/>
      <w:szCs w:val="21"/>
    </w:rPr>
  </w:style>
  <w:style w:type="character" w:default="1" w:styleId="41">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1"/>
    <w:qFormat/>
    <w:uiPriority w:val="0"/>
    <w:rPr>
      <w:rFonts w:ascii="Times New Roman" w:hAnsi="Times New Roman" w:eastAsia="宋体"/>
      <w:b/>
      <w:bCs/>
      <w:kern w:val="2"/>
      <w:sz w:val="21"/>
    </w:rPr>
  </w:style>
  <w:style w:type="paragraph" w:styleId="12">
    <w:name w:val="annotation text"/>
    <w:basedOn w:val="1"/>
    <w:link w:val="84"/>
    <w:qFormat/>
    <w:uiPriority w:val="0"/>
    <w:pPr>
      <w:widowControl w:val="0"/>
      <w:adjustRightInd/>
      <w:snapToGrid/>
      <w:spacing w:after="0"/>
    </w:pPr>
    <w:rPr>
      <w:rFonts w:cs="Times New Roman" w:asciiTheme="minorHAnsi" w:hAnsiTheme="minorHAnsi"/>
      <w:sz w:val="24"/>
      <w:szCs w:val="24"/>
    </w:rPr>
  </w:style>
  <w:style w:type="paragraph" w:styleId="13">
    <w:name w:val="toc 7"/>
    <w:basedOn w:val="1"/>
    <w:next w:val="1"/>
    <w:qFormat/>
    <w:uiPriority w:val="39"/>
    <w:pPr>
      <w:widowControl w:val="0"/>
      <w:adjustRightInd/>
      <w:snapToGrid/>
      <w:spacing w:after="0"/>
      <w:ind w:left="2520" w:leftChars="1200"/>
      <w:jc w:val="both"/>
    </w:pPr>
    <w:rPr>
      <w:rFonts w:ascii="Times New Roman" w:hAnsi="Times New Roman" w:eastAsia="宋体" w:cs="Times New Roman"/>
      <w:kern w:val="2"/>
      <w:sz w:val="21"/>
      <w:szCs w:val="24"/>
    </w:rPr>
  </w:style>
  <w:style w:type="paragraph" w:styleId="14">
    <w:name w:val="Normal Indent"/>
    <w:basedOn w:val="1"/>
    <w:link w:val="100"/>
    <w:qFormat/>
    <w:uiPriority w:val="0"/>
    <w:pPr>
      <w:widowControl w:val="0"/>
      <w:adjustRightInd/>
      <w:snapToGrid/>
      <w:spacing w:after="0"/>
      <w:ind w:firstLine="420" w:firstLineChars="200"/>
      <w:jc w:val="both"/>
    </w:pPr>
    <w:rPr>
      <w:rFonts w:asciiTheme="minorHAnsi" w:hAnsiTheme="minorHAnsi"/>
      <w:kern w:val="2"/>
      <w:sz w:val="21"/>
      <w:szCs w:val="24"/>
    </w:rPr>
  </w:style>
  <w:style w:type="paragraph" w:styleId="15">
    <w:name w:val="List Bullet"/>
    <w:basedOn w:val="1"/>
    <w:qFormat/>
    <w:uiPriority w:val="0"/>
    <w:pPr>
      <w:widowControl w:val="0"/>
      <w:tabs>
        <w:tab w:val="left" w:pos="360"/>
      </w:tabs>
      <w:adjustRightInd/>
      <w:snapToGrid/>
      <w:spacing w:after="0"/>
      <w:ind w:left="360" w:hanging="360"/>
      <w:jc w:val="both"/>
    </w:pPr>
    <w:rPr>
      <w:rFonts w:ascii="Times New Roman" w:hAnsi="Times New Roman" w:eastAsia="宋体" w:cs="Times New Roman"/>
      <w:kern w:val="2"/>
      <w:sz w:val="21"/>
      <w:szCs w:val="24"/>
    </w:rPr>
  </w:style>
  <w:style w:type="paragraph" w:styleId="16">
    <w:name w:val="Document Map"/>
    <w:basedOn w:val="1"/>
    <w:link w:val="58"/>
    <w:unhideWhenUsed/>
    <w:qFormat/>
    <w:uiPriority w:val="0"/>
    <w:rPr>
      <w:rFonts w:ascii="宋体" w:eastAsia="宋体"/>
      <w:sz w:val="18"/>
      <w:szCs w:val="18"/>
    </w:rPr>
  </w:style>
  <w:style w:type="paragraph" w:styleId="17">
    <w:name w:val="Body Text 3"/>
    <w:basedOn w:val="1"/>
    <w:link w:val="102"/>
    <w:qFormat/>
    <w:uiPriority w:val="0"/>
    <w:pPr>
      <w:widowControl w:val="0"/>
      <w:adjustRightInd/>
      <w:snapToGrid/>
      <w:spacing w:after="0"/>
      <w:jc w:val="both"/>
    </w:pPr>
    <w:rPr>
      <w:rFonts w:ascii="宋体" w:hAnsiTheme="minorHAnsi"/>
      <w:kern w:val="2"/>
      <w:sz w:val="24"/>
      <w:szCs w:val="20"/>
    </w:rPr>
  </w:style>
  <w:style w:type="paragraph" w:styleId="18">
    <w:name w:val="Body Text"/>
    <w:basedOn w:val="1"/>
    <w:link w:val="104"/>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19">
    <w:name w:val="Body Text Indent"/>
    <w:basedOn w:val="1"/>
    <w:link w:val="107"/>
    <w:qFormat/>
    <w:uiPriority w:val="0"/>
    <w:pPr>
      <w:widowControl w:val="0"/>
      <w:adjustRightInd/>
      <w:snapToGrid/>
      <w:spacing w:after="120"/>
      <w:ind w:left="420" w:leftChars="200"/>
      <w:jc w:val="both"/>
    </w:pPr>
    <w:rPr>
      <w:rFonts w:ascii="Times New Roman" w:hAnsi="Times New Roman" w:eastAsia="宋体" w:cs="Times New Roman"/>
      <w:kern w:val="2"/>
      <w:sz w:val="21"/>
      <w:szCs w:val="24"/>
    </w:rPr>
  </w:style>
  <w:style w:type="paragraph" w:styleId="20">
    <w:name w:val="toc 5"/>
    <w:basedOn w:val="1"/>
    <w:next w:val="1"/>
    <w:qFormat/>
    <w:uiPriority w:val="39"/>
    <w:pPr>
      <w:widowControl w:val="0"/>
      <w:adjustRightInd/>
      <w:snapToGrid/>
      <w:spacing w:after="0"/>
      <w:ind w:left="1680" w:leftChars="800"/>
      <w:jc w:val="both"/>
    </w:pPr>
    <w:rPr>
      <w:rFonts w:ascii="Times New Roman" w:hAnsi="Times New Roman" w:eastAsia="宋体" w:cs="Times New Roman"/>
      <w:kern w:val="2"/>
      <w:sz w:val="21"/>
      <w:szCs w:val="24"/>
    </w:rPr>
  </w:style>
  <w:style w:type="paragraph" w:styleId="21">
    <w:name w:val="toc 3"/>
    <w:basedOn w:val="1"/>
    <w:next w:val="1"/>
    <w:unhideWhenUsed/>
    <w:qFormat/>
    <w:uiPriority w:val="39"/>
    <w:pPr>
      <w:ind w:left="840" w:leftChars="400"/>
    </w:pPr>
  </w:style>
  <w:style w:type="paragraph" w:styleId="22">
    <w:name w:val="Plain Text"/>
    <w:basedOn w:val="1"/>
    <w:link w:val="123"/>
    <w:qFormat/>
    <w:uiPriority w:val="0"/>
    <w:pPr>
      <w:widowControl w:val="0"/>
      <w:adjustRightInd/>
      <w:snapToGrid/>
      <w:spacing w:after="0"/>
      <w:jc w:val="both"/>
    </w:pPr>
    <w:rPr>
      <w:rFonts w:ascii="Courier New" w:hAnsi="Courier New" w:eastAsia="宋体" w:cs="Times New Roman"/>
      <w:kern w:val="2"/>
      <w:sz w:val="21"/>
      <w:szCs w:val="20"/>
    </w:rPr>
  </w:style>
  <w:style w:type="paragraph" w:styleId="23">
    <w:name w:val="toc 8"/>
    <w:basedOn w:val="1"/>
    <w:next w:val="1"/>
    <w:qFormat/>
    <w:uiPriority w:val="39"/>
    <w:pPr>
      <w:widowControl w:val="0"/>
      <w:adjustRightInd/>
      <w:snapToGrid/>
      <w:spacing w:after="0"/>
      <w:ind w:left="2940" w:leftChars="1400"/>
      <w:jc w:val="both"/>
    </w:pPr>
    <w:rPr>
      <w:rFonts w:ascii="Times New Roman" w:hAnsi="Times New Roman" w:eastAsia="宋体" w:cs="Times New Roman"/>
      <w:kern w:val="2"/>
      <w:sz w:val="21"/>
      <w:szCs w:val="24"/>
    </w:rPr>
  </w:style>
  <w:style w:type="paragraph" w:styleId="24">
    <w:name w:val="Date"/>
    <w:basedOn w:val="1"/>
    <w:next w:val="1"/>
    <w:link w:val="103"/>
    <w:qFormat/>
    <w:uiPriority w:val="0"/>
    <w:pPr>
      <w:widowControl w:val="0"/>
      <w:adjustRightInd/>
      <w:snapToGrid/>
      <w:spacing w:after="0"/>
      <w:jc w:val="both"/>
    </w:pPr>
    <w:rPr>
      <w:rFonts w:ascii="Times New Roman" w:hAnsi="Times New Roman" w:eastAsia="宋体" w:cs="Times New Roman"/>
      <w:kern w:val="2"/>
      <w:sz w:val="24"/>
      <w:szCs w:val="20"/>
    </w:rPr>
  </w:style>
  <w:style w:type="paragraph" w:styleId="25">
    <w:name w:val="Body Text Indent 2"/>
    <w:basedOn w:val="1"/>
    <w:link w:val="126"/>
    <w:qFormat/>
    <w:uiPriority w:val="0"/>
    <w:pPr>
      <w:widowControl w:val="0"/>
      <w:adjustRightInd/>
      <w:snapToGrid/>
      <w:spacing w:after="0"/>
      <w:ind w:firstLine="624"/>
      <w:jc w:val="both"/>
    </w:pPr>
    <w:rPr>
      <w:rFonts w:ascii="仿宋_GB2312" w:hAnsi="Times New Roman" w:eastAsia="仿宋_GB2312" w:cs="Times New Roman"/>
      <w:kern w:val="2"/>
      <w:sz w:val="28"/>
      <w:szCs w:val="24"/>
    </w:rPr>
  </w:style>
  <w:style w:type="paragraph" w:styleId="26">
    <w:name w:val="endnote text"/>
    <w:basedOn w:val="1"/>
    <w:link w:val="127"/>
    <w:qFormat/>
    <w:uiPriority w:val="0"/>
    <w:pPr>
      <w:widowControl w:val="0"/>
      <w:adjustRightInd/>
      <w:spacing w:after="0"/>
    </w:pPr>
    <w:rPr>
      <w:rFonts w:ascii="Times New Roman" w:hAnsi="Times New Roman" w:eastAsia="宋体" w:cs="Times New Roman"/>
      <w:kern w:val="2"/>
      <w:sz w:val="21"/>
      <w:szCs w:val="24"/>
    </w:rPr>
  </w:style>
  <w:style w:type="paragraph" w:styleId="27">
    <w:name w:val="Balloon Text"/>
    <w:basedOn w:val="1"/>
    <w:link w:val="52"/>
    <w:unhideWhenUsed/>
    <w:qFormat/>
    <w:uiPriority w:val="0"/>
    <w:pPr>
      <w:spacing w:after="0"/>
    </w:pPr>
    <w:rPr>
      <w:sz w:val="18"/>
      <w:szCs w:val="18"/>
    </w:rPr>
  </w:style>
  <w:style w:type="paragraph" w:styleId="28">
    <w:name w:val="footer"/>
    <w:basedOn w:val="1"/>
    <w:link w:val="51"/>
    <w:unhideWhenUsed/>
    <w:qFormat/>
    <w:uiPriority w:val="99"/>
    <w:pPr>
      <w:tabs>
        <w:tab w:val="center" w:pos="4153"/>
        <w:tab w:val="right" w:pos="8306"/>
      </w:tabs>
    </w:pPr>
    <w:rPr>
      <w:sz w:val="18"/>
      <w:szCs w:val="18"/>
    </w:rPr>
  </w:style>
  <w:style w:type="paragraph" w:styleId="29">
    <w:name w:val="header"/>
    <w:basedOn w:val="1"/>
    <w:link w:val="50"/>
    <w:unhideWhenUsed/>
    <w:qFormat/>
    <w:uiPriority w:val="0"/>
    <w:pPr>
      <w:pBdr>
        <w:bottom w:val="single" w:color="auto" w:sz="6" w:space="1"/>
      </w:pBdr>
      <w:tabs>
        <w:tab w:val="center" w:pos="4153"/>
        <w:tab w:val="right" w:pos="8306"/>
      </w:tabs>
      <w:jc w:val="center"/>
    </w:pPr>
    <w:rPr>
      <w:sz w:val="18"/>
      <w:szCs w:val="18"/>
    </w:rPr>
  </w:style>
  <w:style w:type="paragraph" w:styleId="30">
    <w:name w:val="toc 1"/>
    <w:basedOn w:val="1"/>
    <w:next w:val="1"/>
    <w:unhideWhenUsed/>
    <w:qFormat/>
    <w:uiPriority w:val="39"/>
  </w:style>
  <w:style w:type="paragraph" w:styleId="31">
    <w:name w:val="toc 4"/>
    <w:basedOn w:val="1"/>
    <w:next w:val="1"/>
    <w:qFormat/>
    <w:uiPriority w:val="39"/>
    <w:pPr>
      <w:widowControl w:val="0"/>
      <w:adjustRightInd/>
      <w:snapToGrid/>
      <w:spacing w:after="0"/>
      <w:ind w:left="1260" w:leftChars="600"/>
      <w:jc w:val="both"/>
    </w:pPr>
    <w:rPr>
      <w:rFonts w:ascii="Times New Roman" w:hAnsi="Times New Roman" w:eastAsia="宋体" w:cs="Times New Roman"/>
      <w:kern w:val="2"/>
      <w:sz w:val="21"/>
      <w:szCs w:val="24"/>
    </w:rPr>
  </w:style>
  <w:style w:type="paragraph" w:styleId="32">
    <w:name w:val="footnote text"/>
    <w:basedOn w:val="1"/>
    <w:link w:val="108"/>
    <w:qFormat/>
    <w:uiPriority w:val="0"/>
    <w:pPr>
      <w:widowControl w:val="0"/>
      <w:adjustRightInd/>
      <w:snapToGrid/>
      <w:spacing w:after="0"/>
      <w:jc w:val="both"/>
    </w:pPr>
    <w:rPr>
      <w:rFonts w:ascii="Times New Roman" w:hAnsi="Times New Roman" w:eastAsia="宋体" w:cs="Times New Roman"/>
      <w:kern w:val="2"/>
      <w:sz w:val="20"/>
      <w:szCs w:val="20"/>
    </w:rPr>
  </w:style>
  <w:style w:type="paragraph" w:styleId="33">
    <w:name w:val="toc 6"/>
    <w:basedOn w:val="1"/>
    <w:next w:val="1"/>
    <w:qFormat/>
    <w:uiPriority w:val="39"/>
    <w:pPr>
      <w:widowControl w:val="0"/>
      <w:adjustRightInd/>
      <w:snapToGrid/>
      <w:spacing w:after="0"/>
      <w:ind w:left="2100" w:leftChars="1000"/>
      <w:jc w:val="both"/>
    </w:pPr>
    <w:rPr>
      <w:rFonts w:ascii="Times New Roman" w:hAnsi="Times New Roman" w:eastAsia="宋体" w:cs="Times New Roman"/>
      <w:kern w:val="2"/>
      <w:sz w:val="21"/>
      <w:szCs w:val="24"/>
    </w:rPr>
  </w:style>
  <w:style w:type="paragraph" w:styleId="34">
    <w:name w:val="Body Text Indent 3"/>
    <w:basedOn w:val="1"/>
    <w:link w:val="105"/>
    <w:qFormat/>
    <w:uiPriority w:val="0"/>
    <w:pPr>
      <w:widowControl w:val="0"/>
      <w:adjustRightInd/>
      <w:snapToGrid/>
      <w:spacing w:after="120"/>
      <w:ind w:left="420" w:leftChars="200"/>
      <w:jc w:val="both"/>
    </w:pPr>
    <w:rPr>
      <w:rFonts w:ascii="Times New Roman" w:hAnsi="Times New Roman" w:eastAsia="宋体" w:cs="Times New Roman"/>
      <w:kern w:val="2"/>
      <w:sz w:val="16"/>
      <w:szCs w:val="16"/>
    </w:rPr>
  </w:style>
  <w:style w:type="paragraph" w:styleId="35">
    <w:name w:val="table of figures"/>
    <w:basedOn w:val="1"/>
    <w:next w:val="1"/>
    <w:qFormat/>
    <w:uiPriority w:val="0"/>
    <w:pPr>
      <w:widowControl w:val="0"/>
      <w:adjustRightInd/>
      <w:snapToGrid/>
      <w:spacing w:after="0"/>
      <w:ind w:left="200" w:leftChars="200" w:hanging="200" w:hangingChars="200"/>
      <w:jc w:val="both"/>
    </w:pPr>
    <w:rPr>
      <w:rFonts w:ascii="Times New Roman" w:hAnsi="Times New Roman" w:eastAsia="宋体" w:cs="Times New Roman"/>
      <w:kern w:val="2"/>
      <w:sz w:val="21"/>
      <w:szCs w:val="24"/>
    </w:rPr>
  </w:style>
  <w:style w:type="paragraph" w:styleId="36">
    <w:name w:val="toc 2"/>
    <w:basedOn w:val="1"/>
    <w:next w:val="1"/>
    <w:unhideWhenUsed/>
    <w:qFormat/>
    <w:uiPriority w:val="39"/>
    <w:pPr>
      <w:ind w:left="420" w:leftChars="200"/>
    </w:pPr>
  </w:style>
  <w:style w:type="paragraph" w:styleId="37">
    <w:name w:val="toc 9"/>
    <w:basedOn w:val="1"/>
    <w:next w:val="1"/>
    <w:qFormat/>
    <w:uiPriority w:val="39"/>
    <w:pPr>
      <w:widowControl w:val="0"/>
      <w:adjustRightInd/>
      <w:snapToGrid/>
      <w:spacing w:after="0"/>
      <w:ind w:left="3360" w:leftChars="1600"/>
      <w:jc w:val="both"/>
    </w:pPr>
    <w:rPr>
      <w:rFonts w:ascii="Times New Roman" w:hAnsi="Times New Roman" w:eastAsia="宋体" w:cs="Times New Roman"/>
      <w:kern w:val="2"/>
      <w:sz w:val="21"/>
      <w:szCs w:val="24"/>
    </w:rPr>
  </w:style>
  <w:style w:type="paragraph" w:styleId="38">
    <w:name w:val="Body Text 2"/>
    <w:basedOn w:val="1"/>
    <w:link w:val="128"/>
    <w:qFormat/>
    <w:uiPriority w:val="0"/>
    <w:pPr>
      <w:widowControl w:val="0"/>
      <w:adjustRightInd/>
      <w:snapToGrid/>
      <w:spacing w:after="0"/>
      <w:jc w:val="both"/>
    </w:pPr>
    <w:rPr>
      <w:rFonts w:ascii="宋体" w:hAnsi="宋体" w:eastAsia="宋体" w:cs="Times New Roman"/>
      <w:kern w:val="2"/>
      <w:sz w:val="28"/>
      <w:szCs w:val="24"/>
    </w:rPr>
  </w:style>
  <w:style w:type="paragraph" w:styleId="39">
    <w:name w:val="Normal (Web)"/>
    <w:basedOn w:val="1"/>
    <w:link w:val="61"/>
    <w:qFormat/>
    <w:uiPriority w:val="0"/>
    <w:pPr>
      <w:adjustRightInd/>
      <w:snapToGrid/>
      <w:spacing w:after="0"/>
    </w:pPr>
    <w:rPr>
      <w:rFonts w:ascii="宋体" w:hAnsi="宋体"/>
      <w:sz w:val="24"/>
      <w:szCs w:val="20"/>
    </w:rPr>
  </w:style>
  <w:style w:type="paragraph" w:styleId="40">
    <w:name w:val="Title"/>
    <w:basedOn w:val="1"/>
    <w:link w:val="111"/>
    <w:qFormat/>
    <w:uiPriority w:val="0"/>
    <w:pPr>
      <w:widowControl w:val="0"/>
      <w:snapToGrid/>
      <w:spacing w:before="240" w:after="60" w:line="420" w:lineRule="atLeast"/>
      <w:jc w:val="center"/>
      <w:textAlignment w:val="baseline"/>
      <w:outlineLvl w:val="0"/>
    </w:pPr>
    <w:rPr>
      <w:rFonts w:ascii="Arial" w:hAnsi="Arial" w:eastAsia="宋体" w:cs="Times New Roman"/>
      <w:b/>
      <w:sz w:val="32"/>
      <w:szCs w:val="20"/>
    </w:rPr>
  </w:style>
  <w:style w:type="character" w:styleId="42">
    <w:name w:val="page number"/>
    <w:basedOn w:val="41"/>
    <w:qFormat/>
    <w:uiPriority w:val="0"/>
  </w:style>
  <w:style w:type="character" w:styleId="43">
    <w:name w:val="FollowedHyperlink"/>
    <w:basedOn w:val="41"/>
    <w:qFormat/>
    <w:uiPriority w:val="0"/>
    <w:rPr>
      <w:color w:val="800080"/>
      <w:u w:val="single"/>
    </w:rPr>
  </w:style>
  <w:style w:type="character" w:styleId="44">
    <w:name w:val="Hyperlink"/>
    <w:basedOn w:val="41"/>
    <w:unhideWhenUsed/>
    <w:qFormat/>
    <w:uiPriority w:val="99"/>
    <w:rPr>
      <w:color w:val="0000FF" w:themeColor="hyperlink"/>
      <w:u w:val="single"/>
    </w:rPr>
  </w:style>
  <w:style w:type="character" w:styleId="45">
    <w:name w:val="annotation reference"/>
    <w:basedOn w:val="41"/>
    <w:qFormat/>
    <w:uiPriority w:val="0"/>
    <w:rPr>
      <w:sz w:val="21"/>
      <w:szCs w:val="21"/>
    </w:rPr>
  </w:style>
  <w:style w:type="character" w:styleId="46">
    <w:name w:val="footnote reference"/>
    <w:basedOn w:val="41"/>
    <w:qFormat/>
    <w:uiPriority w:val="0"/>
    <w:rPr>
      <w:vertAlign w:val="superscript"/>
    </w:rPr>
  </w:style>
  <w:style w:type="table" w:styleId="48">
    <w:name w:val="Table Grid"/>
    <w:basedOn w:val="4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49">
    <w:name w:val="列出段落1"/>
    <w:basedOn w:val="1"/>
    <w:qFormat/>
    <w:uiPriority w:val="99"/>
    <w:pPr>
      <w:ind w:firstLine="420" w:firstLineChars="200"/>
    </w:pPr>
  </w:style>
  <w:style w:type="character" w:customStyle="1" w:styleId="50">
    <w:name w:val="页眉 Char"/>
    <w:basedOn w:val="41"/>
    <w:link w:val="29"/>
    <w:qFormat/>
    <w:uiPriority w:val="0"/>
    <w:rPr>
      <w:rFonts w:ascii="Tahoma" w:hAnsi="Tahoma"/>
      <w:sz w:val="18"/>
      <w:szCs w:val="18"/>
    </w:rPr>
  </w:style>
  <w:style w:type="character" w:customStyle="1" w:styleId="51">
    <w:name w:val="页脚 Char"/>
    <w:basedOn w:val="41"/>
    <w:link w:val="28"/>
    <w:qFormat/>
    <w:uiPriority w:val="99"/>
    <w:rPr>
      <w:rFonts w:ascii="Tahoma" w:hAnsi="Tahoma"/>
      <w:sz w:val="18"/>
      <w:szCs w:val="18"/>
    </w:rPr>
  </w:style>
  <w:style w:type="character" w:customStyle="1" w:styleId="52">
    <w:name w:val="批注框文本 Char"/>
    <w:basedOn w:val="41"/>
    <w:link w:val="27"/>
    <w:qFormat/>
    <w:uiPriority w:val="0"/>
    <w:rPr>
      <w:rFonts w:ascii="Tahoma" w:hAnsi="Tahoma"/>
      <w:sz w:val="18"/>
      <w:szCs w:val="18"/>
    </w:rPr>
  </w:style>
  <w:style w:type="character" w:customStyle="1" w:styleId="53">
    <w:name w:val="标题 1 Char"/>
    <w:basedOn w:val="41"/>
    <w:link w:val="2"/>
    <w:qFormat/>
    <w:uiPriority w:val="0"/>
    <w:rPr>
      <w:rFonts w:ascii="Times New Roman" w:hAnsi="Times New Roman" w:eastAsia="宋体" w:cs="Times New Roman"/>
      <w:b/>
      <w:bCs/>
      <w:kern w:val="44"/>
      <w:sz w:val="44"/>
      <w:szCs w:val="44"/>
    </w:rPr>
  </w:style>
  <w:style w:type="character" w:customStyle="1" w:styleId="54">
    <w:name w:val="标题 3 Char"/>
    <w:basedOn w:val="41"/>
    <w:link w:val="4"/>
    <w:qFormat/>
    <w:uiPriority w:val="0"/>
    <w:rPr>
      <w:rFonts w:ascii="Times New Roman" w:hAnsi="Times New Roman" w:eastAsia="宋体" w:cs="Times New Roman"/>
      <w:b/>
      <w:bCs/>
      <w:kern w:val="2"/>
      <w:sz w:val="32"/>
      <w:szCs w:val="32"/>
    </w:rPr>
  </w:style>
  <w:style w:type="character" w:customStyle="1" w:styleId="55">
    <w:name w:val="标题 4 Char"/>
    <w:basedOn w:val="41"/>
    <w:link w:val="5"/>
    <w:qFormat/>
    <w:uiPriority w:val="0"/>
    <w:rPr>
      <w:rFonts w:ascii="Arial" w:hAnsi="Arial" w:eastAsia="黑体" w:cs="Times New Roman"/>
      <w:b/>
      <w:bCs/>
      <w:kern w:val="2"/>
      <w:sz w:val="28"/>
      <w:szCs w:val="28"/>
    </w:rPr>
  </w:style>
  <w:style w:type="character" w:customStyle="1" w:styleId="56">
    <w:name w:val="标题 5 Char"/>
    <w:basedOn w:val="41"/>
    <w:link w:val="6"/>
    <w:qFormat/>
    <w:uiPriority w:val="0"/>
    <w:rPr>
      <w:rFonts w:ascii="Tahoma" w:hAnsi="Tahoma"/>
      <w:b/>
      <w:bCs/>
      <w:sz w:val="28"/>
      <w:szCs w:val="28"/>
    </w:rPr>
  </w:style>
  <w:style w:type="character" w:customStyle="1" w:styleId="57">
    <w:name w:val="标题 2 Char"/>
    <w:basedOn w:val="41"/>
    <w:link w:val="3"/>
    <w:qFormat/>
    <w:uiPriority w:val="0"/>
    <w:rPr>
      <w:rFonts w:asciiTheme="majorHAnsi" w:hAnsiTheme="majorHAnsi" w:eastAsiaTheme="majorEastAsia" w:cstheme="majorBidi"/>
      <w:b/>
      <w:bCs/>
      <w:sz w:val="32"/>
      <w:szCs w:val="32"/>
    </w:rPr>
  </w:style>
  <w:style w:type="character" w:customStyle="1" w:styleId="58">
    <w:name w:val="文档结构图 Char"/>
    <w:basedOn w:val="41"/>
    <w:link w:val="16"/>
    <w:qFormat/>
    <w:uiPriority w:val="0"/>
    <w:rPr>
      <w:rFonts w:ascii="宋体" w:hAnsi="Tahoma" w:eastAsia="宋体"/>
      <w:sz w:val="18"/>
      <w:szCs w:val="18"/>
    </w:rPr>
  </w:style>
  <w:style w:type="paragraph" w:customStyle="1" w:styleId="5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60">
    <w:name w:val="列出段落2"/>
    <w:basedOn w:val="1"/>
    <w:unhideWhenUsed/>
    <w:qFormat/>
    <w:uiPriority w:val="0"/>
    <w:pPr>
      <w:ind w:firstLine="420" w:firstLineChars="200"/>
    </w:pPr>
  </w:style>
  <w:style w:type="character" w:customStyle="1" w:styleId="61">
    <w:name w:val="普通(网站) Char"/>
    <w:link w:val="39"/>
    <w:qFormat/>
    <w:uiPriority w:val="0"/>
    <w:rPr>
      <w:rFonts w:ascii="宋体" w:hAnsi="宋体"/>
      <w:sz w:val="24"/>
    </w:rPr>
  </w:style>
  <w:style w:type="paragraph" w:customStyle="1" w:styleId="62">
    <w:name w:val="Char Char1"/>
    <w:basedOn w:val="2"/>
    <w:qFormat/>
    <w:uiPriority w:val="0"/>
    <w:pPr>
      <w:tabs>
        <w:tab w:val="left" w:pos="432"/>
      </w:tabs>
      <w:adjustRightInd w:val="0"/>
      <w:spacing w:before="0" w:after="0" w:line="480" w:lineRule="auto"/>
      <w:textAlignment w:val="baseline"/>
    </w:pPr>
    <w:rPr>
      <w:rFonts w:ascii="黑体" w:hAnsi="宋体" w:eastAsia="黑体"/>
      <w:bCs w:val="0"/>
      <w:sz w:val="32"/>
      <w:szCs w:val="32"/>
    </w:rPr>
  </w:style>
  <w:style w:type="paragraph" w:customStyle="1" w:styleId="63">
    <w:name w:val="p0"/>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64">
    <w:name w:val="Header Char"/>
    <w:qFormat/>
    <w:uiPriority w:val="0"/>
    <w:rPr>
      <w:kern w:val="2"/>
      <w:sz w:val="18"/>
    </w:rPr>
  </w:style>
  <w:style w:type="character" w:customStyle="1" w:styleId="65">
    <w:name w:val="Balloon Text Char"/>
    <w:qFormat/>
    <w:uiPriority w:val="0"/>
    <w:rPr>
      <w:sz w:val="2"/>
    </w:rPr>
  </w:style>
  <w:style w:type="character" w:customStyle="1" w:styleId="66">
    <w:name w:val="Document Map Char"/>
    <w:qFormat/>
    <w:uiPriority w:val="0"/>
    <w:rPr>
      <w:rFonts w:ascii="宋体"/>
      <w:kern w:val="2"/>
      <w:sz w:val="18"/>
    </w:rPr>
  </w:style>
  <w:style w:type="character" w:customStyle="1" w:styleId="67">
    <w:name w:val="批注主题 Char"/>
    <w:basedOn w:val="68"/>
    <w:link w:val="69"/>
    <w:qFormat/>
    <w:uiPriority w:val="0"/>
    <w:rPr>
      <w:rFonts w:cs="Times New Roman"/>
      <w:b/>
      <w:bCs/>
      <w:szCs w:val="24"/>
    </w:rPr>
  </w:style>
  <w:style w:type="character" w:customStyle="1" w:styleId="68">
    <w:name w:val="Comment Text Char"/>
    <w:qFormat/>
    <w:uiPriority w:val="0"/>
    <w:rPr>
      <w:sz w:val="24"/>
    </w:rPr>
  </w:style>
  <w:style w:type="paragraph" w:customStyle="1" w:styleId="69">
    <w:name w:val="批注主题1"/>
    <w:basedOn w:val="12"/>
    <w:next w:val="12"/>
    <w:link w:val="67"/>
    <w:qFormat/>
    <w:uiPriority w:val="0"/>
    <w:rPr>
      <w:b/>
      <w:bCs/>
    </w:rPr>
  </w:style>
  <w:style w:type="character" w:customStyle="1" w:styleId="70">
    <w:name w:val="Comment Text Char1"/>
    <w:qFormat/>
    <w:uiPriority w:val="0"/>
    <w:rPr>
      <w:sz w:val="24"/>
    </w:rPr>
  </w:style>
  <w:style w:type="character" w:customStyle="1" w:styleId="71">
    <w:name w:val="Header Char1"/>
    <w:qFormat/>
    <w:uiPriority w:val="0"/>
    <w:rPr>
      <w:sz w:val="18"/>
    </w:rPr>
  </w:style>
  <w:style w:type="character" w:customStyle="1" w:styleId="72">
    <w:name w:val="日期 Char"/>
    <w:basedOn w:val="41"/>
    <w:link w:val="73"/>
    <w:qFormat/>
    <w:uiPriority w:val="0"/>
    <w:rPr>
      <w:rFonts w:cs="Times New Roman"/>
      <w:sz w:val="24"/>
      <w:szCs w:val="24"/>
    </w:rPr>
  </w:style>
  <w:style w:type="paragraph" w:customStyle="1" w:styleId="73">
    <w:name w:val="日期1"/>
    <w:basedOn w:val="1"/>
    <w:next w:val="1"/>
    <w:link w:val="72"/>
    <w:qFormat/>
    <w:uiPriority w:val="0"/>
    <w:pPr>
      <w:widowControl w:val="0"/>
      <w:adjustRightInd/>
      <w:snapToGrid/>
      <w:spacing w:after="0"/>
      <w:ind w:left="100" w:leftChars="2500"/>
      <w:jc w:val="both"/>
    </w:pPr>
    <w:rPr>
      <w:rFonts w:cs="Times New Roman" w:asciiTheme="minorHAnsi" w:hAnsiTheme="minorHAnsi"/>
      <w:sz w:val="24"/>
      <w:szCs w:val="24"/>
    </w:rPr>
  </w:style>
  <w:style w:type="character" w:customStyle="1" w:styleId="74">
    <w:name w:val="Footer Char"/>
    <w:qFormat/>
    <w:uiPriority w:val="0"/>
    <w:rPr>
      <w:sz w:val="18"/>
    </w:rPr>
  </w:style>
  <w:style w:type="character" w:customStyle="1" w:styleId="75">
    <w:name w:val="Comment Subject Char"/>
    <w:qFormat/>
    <w:uiPriority w:val="0"/>
    <w:rPr>
      <w:b/>
      <w:sz w:val="24"/>
    </w:rPr>
  </w:style>
  <w:style w:type="character" w:customStyle="1" w:styleId="76">
    <w:name w:val="Footer Char1"/>
    <w:qFormat/>
    <w:uiPriority w:val="0"/>
    <w:rPr>
      <w:sz w:val="18"/>
    </w:rPr>
  </w:style>
  <w:style w:type="character" w:customStyle="1" w:styleId="77">
    <w:name w:val="Balloon Text Char1"/>
    <w:qFormat/>
    <w:uiPriority w:val="0"/>
    <w:rPr>
      <w:sz w:val="2"/>
    </w:rPr>
  </w:style>
  <w:style w:type="character" w:customStyle="1" w:styleId="78">
    <w:name w:val="apple-converted-space"/>
    <w:basedOn w:val="41"/>
    <w:qFormat/>
    <w:uiPriority w:val="0"/>
    <w:rPr>
      <w:rFonts w:cs="Times New Roman"/>
    </w:rPr>
  </w:style>
  <w:style w:type="character" w:customStyle="1" w:styleId="79">
    <w:name w:val="Char Char15"/>
    <w:qFormat/>
    <w:uiPriority w:val="0"/>
    <w:rPr>
      <w:rFonts w:ascii="Cambria" w:hAnsi="Cambria" w:eastAsia="宋体"/>
      <w:b/>
      <w:kern w:val="2"/>
      <w:sz w:val="28"/>
    </w:rPr>
  </w:style>
  <w:style w:type="character" w:customStyle="1" w:styleId="80">
    <w:name w:val="批注引用1"/>
    <w:basedOn w:val="41"/>
    <w:qFormat/>
    <w:uiPriority w:val="0"/>
    <w:rPr>
      <w:rFonts w:cs="Times New Roman"/>
      <w:sz w:val="21"/>
    </w:rPr>
  </w:style>
  <w:style w:type="character" w:customStyle="1" w:styleId="81">
    <w:name w:val="页码1"/>
    <w:basedOn w:val="41"/>
    <w:qFormat/>
    <w:uiPriority w:val="0"/>
    <w:rPr>
      <w:rFonts w:cs="Times New Roman"/>
    </w:rPr>
  </w:style>
  <w:style w:type="character" w:customStyle="1" w:styleId="82">
    <w:name w:val="批注文字 Char"/>
    <w:basedOn w:val="41"/>
    <w:link w:val="12"/>
    <w:qFormat/>
    <w:uiPriority w:val="0"/>
    <w:rPr>
      <w:rFonts w:cs="Times New Roman"/>
      <w:sz w:val="24"/>
      <w:szCs w:val="24"/>
    </w:rPr>
  </w:style>
  <w:style w:type="character" w:customStyle="1" w:styleId="83">
    <w:name w:val="批注引用2"/>
    <w:basedOn w:val="41"/>
    <w:qFormat/>
    <w:uiPriority w:val="0"/>
    <w:rPr>
      <w:rFonts w:cs="Times New Roman"/>
      <w:sz w:val="21"/>
      <w:szCs w:val="21"/>
    </w:rPr>
  </w:style>
  <w:style w:type="character" w:customStyle="1" w:styleId="84">
    <w:name w:val="批注文字 Char1"/>
    <w:basedOn w:val="41"/>
    <w:link w:val="12"/>
    <w:semiHidden/>
    <w:qFormat/>
    <w:uiPriority w:val="99"/>
    <w:rPr>
      <w:rFonts w:ascii="Tahoma" w:hAnsi="Tahoma"/>
      <w:sz w:val="22"/>
      <w:szCs w:val="22"/>
    </w:rPr>
  </w:style>
  <w:style w:type="paragraph" w:customStyle="1" w:styleId="85">
    <w:name w:val="文档结构图1"/>
    <w:basedOn w:val="1"/>
    <w:qFormat/>
    <w:uiPriority w:val="0"/>
    <w:pPr>
      <w:widowControl w:val="0"/>
      <w:adjustRightInd/>
      <w:snapToGrid/>
      <w:spacing w:after="0"/>
      <w:jc w:val="both"/>
    </w:pPr>
    <w:rPr>
      <w:rFonts w:ascii="Times New Roman" w:hAnsi="Times New Roman" w:eastAsia="宋体" w:cs="Times New Roman"/>
      <w:kern w:val="2"/>
      <w:sz w:val="2"/>
      <w:szCs w:val="24"/>
    </w:rPr>
  </w:style>
  <w:style w:type="paragraph" w:customStyle="1" w:styleId="86">
    <w:name w:val="图表目录1"/>
    <w:basedOn w:val="1"/>
    <w:next w:val="1"/>
    <w:qFormat/>
    <w:uiPriority w:val="0"/>
    <w:pPr>
      <w:widowControl w:val="0"/>
      <w:adjustRightInd/>
      <w:snapToGrid/>
      <w:spacing w:after="0"/>
      <w:ind w:left="200" w:leftChars="200" w:hanging="200" w:hangingChars="200"/>
      <w:jc w:val="both"/>
    </w:pPr>
    <w:rPr>
      <w:rFonts w:ascii="Times New Roman" w:hAnsi="Times New Roman" w:eastAsia="宋体" w:cs="Times New Roman"/>
      <w:kern w:val="2"/>
      <w:sz w:val="21"/>
      <w:szCs w:val="24"/>
    </w:rPr>
  </w:style>
  <w:style w:type="paragraph" w:customStyle="1" w:styleId="87">
    <w:name w:val="TOC 标题11"/>
    <w:basedOn w:val="2"/>
    <w:next w:val="1"/>
    <w:qFormat/>
    <w:uiPriority w:val="0"/>
    <w:pPr>
      <w:outlineLvl w:val="9"/>
    </w:pPr>
    <w:rPr>
      <w:rFonts w:ascii="Calibri" w:hAnsi="Calibri"/>
      <w:bCs w:val="0"/>
      <w:szCs w:val="24"/>
    </w:rPr>
  </w:style>
  <w:style w:type="paragraph" w:customStyle="1" w:styleId="88">
    <w:name w:val="修订1"/>
    <w:qFormat/>
    <w:uiPriority w:val="0"/>
    <w:rPr>
      <w:rFonts w:ascii="Times New Roman" w:hAnsi="Times New Roman" w:eastAsia="宋体" w:cs="Times New Roman"/>
      <w:szCs w:val="24"/>
      <w:lang w:val="en-US" w:eastAsia="zh-CN" w:bidi="ar-SA"/>
    </w:rPr>
  </w:style>
  <w:style w:type="paragraph" w:customStyle="1" w:styleId="89">
    <w:name w:val="msolist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90">
    <w:name w:val="默认段落字体 Para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character" w:customStyle="1" w:styleId="91">
    <w:name w:val="标题 6 Char"/>
    <w:basedOn w:val="41"/>
    <w:link w:val="7"/>
    <w:qFormat/>
    <w:uiPriority w:val="0"/>
    <w:rPr>
      <w:rFonts w:ascii="Arial" w:hAnsi="Arial" w:eastAsia="黑体" w:cs="Times New Roman"/>
      <w:b/>
      <w:bCs/>
      <w:sz w:val="24"/>
      <w:szCs w:val="24"/>
    </w:rPr>
  </w:style>
  <w:style w:type="character" w:customStyle="1" w:styleId="92">
    <w:name w:val="标题 7 Char"/>
    <w:basedOn w:val="41"/>
    <w:link w:val="8"/>
    <w:qFormat/>
    <w:uiPriority w:val="0"/>
    <w:rPr>
      <w:rFonts w:ascii="Times New Roman" w:hAnsi="Times New Roman" w:eastAsia="宋体" w:cs="Times New Roman"/>
      <w:b/>
      <w:bCs/>
      <w:sz w:val="24"/>
      <w:szCs w:val="24"/>
    </w:rPr>
  </w:style>
  <w:style w:type="character" w:customStyle="1" w:styleId="93">
    <w:name w:val="标题 8 Char"/>
    <w:basedOn w:val="41"/>
    <w:link w:val="9"/>
    <w:qFormat/>
    <w:uiPriority w:val="0"/>
    <w:rPr>
      <w:rFonts w:ascii="Arial" w:hAnsi="Arial" w:eastAsia="黑体" w:cs="Times New Roman"/>
      <w:sz w:val="24"/>
      <w:szCs w:val="24"/>
    </w:rPr>
  </w:style>
  <w:style w:type="character" w:customStyle="1" w:styleId="94">
    <w:name w:val="标题 9 Char"/>
    <w:basedOn w:val="41"/>
    <w:link w:val="10"/>
    <w:qFormat/>
    <w:uiPriority w:val="0"/>
    <w:rPr>
      <w:rFonts w:ascii="Arial" w:hAnsi="Arial" w:eastAsia="黑体" w:cs="Times New Roman"/>
      <w:sz w:val="21"/>
      <w:szCs w:val="21"/>
    </w:rPr>
  </w:style>
  <w:style w:type="character" w:customStyle="1" w:styleId="95">
    <w:name w:val="font161"/>
    <w:basedOn w:val="41"/>
    <w:qFormat/>
    <w:uiPriority w:val="0"/>
    <w:rPr>
      <w:b/>
      <w:bCs/>
      <w:sz w:val="32"/>
      <w:szCs w:val="32"/>
    </w:rPr>
  </w:style>
  <w:style w:type="character" w:customStyle="1" w:styleId="96">
    <w:name w:val="Char Char2"/>
    <w:basedOn w:val="41"/>
    <w:qFormat/>
    <w:uiPriority w:val="0"/>
    <w:rPr>
      <w:rFonts w:eastAsia="宋体"/>
      <w:kern w:val="2"/>
      <w:sz w:val="21"/>
      <w:szCs w:val="24"/>
      <w:lang w:val="en-US" w:eastAsia="zh-CN" w:bidi="ar-SA"/>
    </w:rPr>
  </w:style>
  <w:style w:type="character" w:customStyle="1" w:styleId="97">
    <w:name w:val="Char Char7"/>
    <w:basedOn w:val="41"/>
    <w:qFormat/>
    <w:uiPriority w:val="0"/>
    <w:rPr>
      <w:rFonts w:ascii="Arial" w:hAnsi="Arial" w:eastAsia="黑体"/>
      <w:b/>
      <w:bCs/>
      <w:kern w:val="2"/>
      <w:sz w:val="32"/>
      <w:szCs w:val="32"/>
      <w:lang w:val="en-US" w:eastAsia="zh-CN" w:bidi="ar-SA"/>
    </w:rPr>
  </w:style>
  <w:style w:type="character" w:customStyle="1" w:styleId="98">
    <w:name w:val="Char Char8"/>
    <w:basedOn w:val="41"/>
    <w:qFormat/>
    <w:uiPriority w:val="0"/>
    <w:rPr>
      <w:rFonts w:ascii="Arial" w:hAnsi="Arial" w:eastAsia="黑体"/>
      <w:b/>
      <w:bCs/>
      <w:kern w:val="2"/>
      <w:sz w:val="32"/>
      <w:szCs w:val="32"/>
      <w:lang w:val="en-US" w:eastAsia="zh-CN" w:bidi="ar-SA"/>
    </w:rPr>
  </w:style>
  <w:style w:type="character" w:customStyle="1" w:styleId="99">
    <w:name w:val="正文文本 3 Char"/>
    <w:basedOn w:val="41"/>
    <w:link w:val="17"/>
    <w:qFormat/>
    <w:uiPriority w:val="0"/>
    <w:rPr>
      <w:rFonts w:ascii="宋体"/>
      <w:kern w:val="2"/>
      <w:sz w:val="24"/>
    </w:rPr>
  </w:style>
  <w:style w:type="character" w:customStyle="1" w:styleId="100">
    <w:name w:val="正文缩进 Char"/>
    <w:basedOn w:val="41"/>
    <w:link w:val="14"/>
    <w:qFormat/>
    <w:uiPriority w:val="0"/>
    <w:rPr>
      <w:kern w:val="2"/>
      <w:sz w:val="21"/>
      <w:szCs w:val="24"/>
    </w:rPr>
  </w:style>
  <w:style w:type="character" w:customStyle="1" w:styleId="101">
    <w:name w:val="批注主题 Char1"/>
    <w:basedOn w:val="82"/>
    <w:link w:val="11"/>
    <w:qFormat/>
    <w:uiPriority w:val="0"/>
    <w:rPr>
      <w:rFonts w:ascii="Times New Roman" w:hAnsi="Times New Roman" w:eastAsia="宋体"/>
      <w:b/>
      <w:bCs/>
      <w:kern w:val="2"/>
      <w:sz w:val="21"/>
    </w:rPr>
  </w:style>
  <w:style w:type="character" w:customStyle="1" w:styleId="102">
    <w:name w:val="正文文本 3 Char1"/>
    <w:basedOn w:val="41"/>
    <w:link w:val="17"/>
    <w:semiHidden/>
    <w:qFormat/>
    <w:uiPriority w:val="99"/>
    <w:rPr>
      <w:rFonts w:ascii="Tahoma" w:hAnsi="Tahoma"/>
      <w:sz w:val="16"/>
      <w:szCs w:val="16"/>
    </w:rPr>
  </w:style>
  <w:style w:type="character" w:customStyle="1" w:styleId="103">
    <w:name w:val="日期 Char1"/>
    <w:basedOn w:val="41"/>
    <w:link w:val="24"/>
    <w:semiHidden/>
    <w:qFormat/>
    <w:uiPriority w:val="99"/>
    <w:rPr>
      <w:rFonts w:ascii="Tahoma" w:hAnsi="Tahoma"/>
      <w:sz w:val="22"/>
      <w:szCs w:val="22"/>
    </w:rPr>
  </w:style>
  <w:style w:type="character" w:customStyle="1" w:styleId="104">
    <w:name w:val="正文文本 Char"/>
    <w:basedOn w:val="41"/>
    <w:link w:val="18"/>
    <w:qFormat/>
    <w:uiPriority w:val="0"/>
    <w:rPr>
      <w:rFonts w:ascii="Times New Roman" w:hAnsi="Times New Roman" w:eastAsia="宋体" w:cs="Times New Roman"/>
      <w:kern w:val="2"/>
      <w:sz w:val="21"/>
      <w:szCs w:val="24"/>
    </w:rPr>
  </w:style>
  <w:style w:type="character" w:customStyle="1" w:styleId="105">
    <w:name w:val="正文文本缩进 3 Char"/>
    <w:basedOn w:val="41"/>
    <w:link w:val="34"/>
    <w:qFormat/>
    <w:uiPriority w:val="0"/>
    <w:rPr>
      <w:rFonts w:ascii="Times New Roman" w:hAnsi="Times New Roman" w:eastAsia="宋体" w:cs="Times New Roman"/>
      <w:kern w:val="2"/>
      <w:sz w:val="16"/>
      <w:szCs w:val="16"/>
    </w:rPr>
  </w:style>
  <w:style w:type="character" w:customStyle="1" w:styleId="106">
    <w:name w:val="纯文本 Char"/>
    <w:basedOn w:val="41"/>
    <w:link w:val="22"/>
    <w:qFormat/>
    <w:uiPriority w:val="0"/>
    <w:rPr>
      <w:rFonts w:ascii="宋体" w:hAnsi="Courier New" w:eastAsia="宋体" w:cs="Courier New"/>
      <w:sz w:val="21"/>
      <w:szCs w:val="21"/>
    </w:rPr>
  </w:style>
  <w:style w:type="character" w:customStyle="1" w:styleId="107">
    <w:name w:val="正文文本缩进 Char"/>
    <w:basedOn w:val="41"/>
    <w:link w:val="19"/>
    <w:qFormat/>
    <w:uiPriority w:val="0"/>
    <w:rPr>
      <w:rFonts w:ascii="Times New Roman" w:hAnsi="Times New Roman" w:eastAsia="宋体" w:cs="Times New Roman"/>
      <w:kern w:val="2"/>
      <w:sz w:val="21"/>
      <w:szCs w:val="24"/>
    </w:rPr>
  </w:style>
  <w:style w:type="character" w:customStyle="1" w:styleId="108">
    <w:name w:val="脚注文本 Char"/>
    <w:basedOn w:val="41"/>
    <w:link w:val="32"/>
    <w:qFormat/>
    <w:uiPriority w:val="0"/>
    <w:rPr>
      <w:rFonts w:ascii="Times New Roman" w:hAnsi="Times New Roman" w:eastAsia="宋体" w:cs="Times New Roman"/>
      <w:kern w:val="2"/>
    </w:rPr>
  </w:style>
  <w:style w:type="paragraph" w:customStyle="1" w:styleId="109">
    <w:name w:val="表格文字"/>
    <w:basedOn w:val="1"/>
    <w:qFormat/>
    <w:uiPriority w:val="0"/>
    <w:pPr>
      <w:widowControl w:val="0"/>
      <w:snapToGrid/>
      <w:spacing w:after="0" w:line="420" w:lineRule="atLeast"/>
      <w:textAlignment w:val="baseline"/>
    </w:pPr>
    <w:rPr>
      <w:rFonts w:ascii="Times New Roman" w:hAnsi="Times New Roman" w:eastAsia="宋体" w:cs="Times New Roman"/>
      <w:sz w:val="21"/>
      <w:szCs w:val="20"/>
    </w:rPr>
  </w:style>
  <w:style w:type="paragraph" w:customStyle="1" w:styleId="110">
    <w:name w:val="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character" w:customStyle="1" w:styleId="111">
    <w:name w:val="标题 Char"/>
    <w:basedOn w:val="41"/>
    <w:link w:val="40"/>
    <w:qFormat/>
    <w:uiPriority w:val="0"/>
    <w:rPr>
      <w:rFonts w:ascii="Arial" w:hAnsi="Arial" w:eastAsia="宋体" w:cs="Times New Roman"/>
      <w:b/>
      <w:sz w:val="32"/>
    </w:rPr>
  </w:style>
  <w:style w:type="paragraph" w:customStyle="1" w:styleId="112">
    <w:name w:val="6'"/>
    <w:basedOn w:val="1"/>
    <w:qFormat/>
    <w:uiPriority w:val="0"/>
    <w:pPr>
      <w:widowControl w:val="0"/>
      <w:autoSpaceDE w:val="0"/>
      <w:autoSpaceDN w:val="0"/>
      <w:spacing w:after="0" w:line="320" w:lineRule="exact"/>
      <w:jc w:val="center"/>
      <w:textAlignment w:val="baseline"/>
    </w:pPr>
    <w:rPr>
      <w:rFonts w:ascii="Times New Roman" w:hAnsi="Times New Roman" w:eastAsia="宋体" w:cs="Times New Roman"/>
      <w:spacing w:val="20"/>
      <w:kern w:val="28"/>
      <w:sz w:val="21"/>
      <w:szCs w:val="20"/>
    </w:rPr>
  </w:style>
  <w:style w:type="paragraph" w:customStyle="1" w:styleId="113">
    <w:name w:val="表格"/>
    <w:basedOn w:val="1"/>
    <w:qFormat/>
    <w:uiPriority w:val="0"/>
    <w:pPr>
      <w:widowControl w:val="0"/>
      <w:adjustRightInd/>
      <w:snapToGrid/>
      <w:spacing w:after="0"/>
      <w:jc w:val="center"/>
      <w:textAlignment w:val="center"/>
    </w:pPr>
    <w:rPr>
      <w:rFonts w:ascii="华文细黑" w:hAnsi="华文细黑" w:eastAsia="宋体" w:cs="Times New Roman"/>
      <w:sz w:val="21"/>
      <w:szCs w:val="20"/>
    </w:rPr>
  </w:style>
  <w:style w:type="paragraph" w:customStyle="1" w:styleId="114">
    <w:name w:val="样式2"/>
    <w:basedOn w:val="4"/>
    <w:qFormat/>
    <w:uiPriority w:val="0"/>
    <w:rPr>
      <w:rFonts w:eastAsia="黑体"/>
      <w:kern w:val="0"/>
      <w:sz w:val="24"/>
    </w:rPr>
  </w:style>
  <w:style w:type="paragraph" w:customStyle="1" w:styleId="115">
    <w:name w:val="样式3"/>
    <w:basedOn w:val="4"/>
    <w:qFormat/>
    <w:uiPriority w:val="0"/>
    <w:rPr>
      <w:rFonts w:eastAsia="Arial"/>
      <w:kern w:val="0"/>
      <w:sz w:val="24"/>
    </w:rPr>
  </w:style>
  <w:style w:type="paragraph" w:customStyle="1" w:styleId="116">
    <w:name w:val="1"/>
    <w:basedOn w:val="1"/>
    <w:next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117">
    <w:name w:val="样式4"/>
    <w:basedOn w:val="4"/>
    <w:qFormat/>
    <w:uiPriority w:val="0"/>
    <w:rPr>
      <w:rFonts w:eastAsia="Arial"/>
      <w:kern w:val="0"/>
      <w:sz w:val="24"/>
    </w:rPr>
  </w:style>
  <w:style w:type="paragraph" w:customStyle="1" w:styleId="118">
    <w:name w:val="样式 标题 2 + Times New Roman 四号 非加粗 段前: 5 磅 段后: 0 磅 行距: 固定值 20..."/>
    <w:basedOn w:val="3"/>
    <w:qFormat/>
    <w:uiPriority w:val="0"/>
    <w:pPr>
      <w:widowControl w:val="0"/>
      <w:adjustRightInd/>
      <w:snapToGrid/>
      <w:spacing w:before="100" w:after="0" w:line="400" w:lineRule="exact"/>
      <w:jc w:val="both"/>
    </w:pPr>
    <w:rPr>
      <w:rFonts w:ascii="Times New Roman" w:hAnsi="Times New Roman" w:eastAsia="黑体" w:cs="宋体"/>
      <w:bCs w:val="0"/>
      <w:kern w:val="2"/>
      <w:sz w:val="28"/>
      <w:szCs w:val="20"/>
    </w:rPr>
  </w:style>
  <w:style w:type="paragraph" w:customStyle="1" w:styleId="119">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0"/>
      <w:sz w:val="24"/>
      <w:szCs w:val="20"/>
    </w:rPr>
  </w:style>
  <w:style w:type="paragraph" w:customStyle="1" w:styleId="120">
    <w:name w:val="样式1"/>
    <w:basedOn w:val="4"/>
    <w:qFormat/>
    <w:uiPriority w:val="99"/>
    <w:rPr>
      <w:rFonts w:eastAsia="Arial"/>
      <w:kern w:val="0"/>
      <w:sz w:val="24"/>
    </w:rPr>
  </w:style>
  <w:style w:type="paragraph" w:customStyle="1" w:styleId="12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Cs w:val="0"/>
      <w:sz w:val="32"/>
      <w:szCs w:val="20"/>
    </w:rPr>
  </w:style>
  <w:style w:type="paragraph" w:customStyle="1" w:styleId="122">
    <w:name w:val="p15"/>
    <w:basedOn w:val="1"/>
    <w:qFormat/>
    <w:uiPriority w:val="0"/>
    <w:pPr>
      <w:adjustRightInd/>
      <w:snapToGrid/>
      <w:spacing w:before="100" w:beforeAutospacing="1" w:after="100" w:afterAutospacing="1"/>
    </w:pPr>
    <w:rPr>
      <w:rFonts w:ascii="宋体" w:hAnsi="宋体" w:eastAsia="宋体" w:cs="宋体"/>
      <w:sz w:val="24"/>
      <w:szCs w:val="20"/>
    </w:rPr>
  </w:style>
  <w:style w:type="character" w:customStyle="1" w:styleId="123">
    <w:name w:val="纯文本 Char1"/>
    <w:basedOn w:val="41"/>
    <w:link w:val="22"/>
    <w:qFormat/>
    <w:locked/>
    <w:uiPriority w:val="0"/>
    <w:rPr>
      <w:rFonts w:ascii="Courier New" w:hAnsi="Courier New" w:eastAsia="宋体" w:cs="Times New Roman"/>
      <w:kern w:val="2"/>
      <w:sz w:val="21"/>
    </w:rPr>
  </w:style>
  <w:style w:type="paragraph" w:customStyle="1" w:styleId="124">
    <w:name w:val="规范文本"/>
    <w:basedOn w:val="22"/>
    <w:qFormat/>
    <w:uiPriority w:val="0"/>
    <w:pPr>
      <w:adjustRightInd w:val="0"/>
      <w:snapToGrid w:val="0"/>
      <w:spacing w:line="360" w:lineRule="exact"/>
      <w:ind w:firstLine="420"/>
    </w:pPr>
    <w:rPr>
      <w:rFonts w:ascii="宋体" w:cs="Courier New"/>
      <w:snapToGrid w:val="0"/>
      <w:kern w:val="0"/>
      <w:szCs w:val="21"/>
    </w:rPr>
  </w:style>
  <w:style w:type="paragraph" w:customStyle="1" w:styleId="125">
    <w:name w:val="篇章"/>
    <w:basedOn w:val="1"/>
    <w:qFormat/>
    <w:uiPriority w:val="0"/>
    <w:pPr>
      <w:widowControl w:val="0"/>
      <w:spacing w:after="360"/>
      <w:jc w:val="center"/>
      <w:outlineLvl w:val="0"/>
    </w:pPr>
    <w:rPr>
      <w:rFonts w:ascii="黑体" w:hAnsi="Courier New" w:eastAsia="黑体" w:cs="Times New Roman"/>
      <w:snapToGrid w:val="0"/>
      <w:spacing w:val="-20"/>
      <w:sz w:val="36"/>
      <w:szCs w:val="21"/>
    </w:rPr>
  </w:style>
  <w:style w:type="character" w:customStyle="1" w:styleId="126">
    <w:name w:val="正文文本缩进 2 Char"/>
    <w:basedOn w:val="41"/>
    <w:link w:val="25"/>
    <w:qFormat/>
    <w:uiPriority w:val="0"/>
    <w:rPr>
      <w:rFonts w:ascii="仿宋_GB2312" w:hAnsi="Times New Roman" w:eastAsia="仿宋_GB2312" w:cs="Times New Roman"/>
      <w:kern w:val="2"/>
      <w:sz w:val="28"/>
      <w:szCs w:val="24"/>
    </w:rPr>
  </w:style>
  <w:style w:type="character" w:customStyle="1" w:styleId="127">
    <w:name w:val="尾注文本 Char"/>
    <w:basedOn w:val="41"/>
    <w:link w:val="26"/>
    <w:qFormat/>
    <w:uiPriority w:val="0"/>
    <w:rPr>
      <w:rFonts w:ascii="Times New Roman" w:hAnsi="Times New Roman" w:eastAsia="宋体" w:cs="Times New Roman"/>
      <w:kern w:val="2"/>
      <w:sz w:val="21"/>
      <w:szCs w:val="24"/>
    </w:rPr>
  </w:style>
  <w:style w:type="character" w:customStyle="1" w:styleId="128">
    <w:name w:val="正文文本 2 Char"/>
    <w:basedOn w:val="41"/>
    <w:link w:val="38"/>
    <w:qFormat/>
    <w:uiPriority w:val="0"/>
    <w:rPr>
      <w:rFonts w:ascii="宋体" w:hAnsi="宋体" w:eastAsia="宋体" w:cs="Times New Roman"/>
      <w:kern w:val="2"/>
      <w:sz w:val="28"/>
      <w:szCs w:val="24"/>
    </w:rPr>
  </w:style>
  <w:style w:type="paragraph" w:customStyle="1" w:styleId="1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0">
    <w:name w:val="Char1"/>
    <w:basedOn w:val="1"/>
    <w:qFormat/>
    <w:uiPriority w:val="0"/>
    <w:pPr>
      <w:adjustRightInd/>
      <w:snapToGrid/>
      <w:spacing w:after="160" w:line="240" w:lineRule="exact"/>
      <w:ind w:left="-62" w:right="36" w:rightChars="15"/>
    </w:pPr>
    <w:rPr>
      <w:rFonts w:ascii="Arial" w:hAnsi="Arial" w:eastAsia="Times New Roman" w:cs="Times New Roman"/>
      <w:sz w:val="20"/>
      <w:szCs w:val="20"/>
      <w:lang w:eastAsia="en-US"/>
    </w:rPr>
  </w:style>
  <w:style w:type="paragraph" w:customStyle="1" w:styleId="131">
    <w:name w:val="正文缩进2字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character" w:customStyle="1" w:styleId="132">
    <w:name w:val="con"/>
    <w:basedOn w:val="41"/>
    <w:qFormat/>
    <w:uiPriority w:val="0"/>
  </w:style>
  <w:style w:type="character" w:customStyle="1" w:styleId="133">
    <w:name w:val="批注文字 Char Char"/>
    <w:qFormat/>
    <w:uiPriority w:val="0"/>
    <w:rPr>
      <w:rFonts w:ascii="宋体" w:hAnsi="Times New Roman" w:eastAsia="宋体"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9F69A-021E-4084-BAC1-807AF81251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2485</Words>
  <Characters>14171</Characters>
  <Lines>118</Lines>
  <Paragraphs>33</Paragraphs>
  <ScaleCrop>false</ScaleCrop>
  <LinksUpToDate>false</LinksUpToDate>
  <CharactersWithSpaces>16623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cp:lastModifiedBy>
  <cp:lastPrinted>2018-07-19T06:51:00Z</cp:lastPrinted>
  <dcterms:modified xsi:type="dcterms:W3CDTF">2018-07-20T00:37:11Z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