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both"/>
      </w:pPr>
    </w:p>
    <w:p>
      <w:pPr>
        <w:spacing w:line="220" w:lineRule="atLeast"/>
        <w:jc w:val="center"/>
        <w:rPr>
          <w:rFonts w:ascii="宋体" w:hAnsi="宋体" w:eastAsia="宋体" w:cs="宋体"/>
          <w:b/>
          <w:bCs/>
          <w:color w:val="000000"/>
          <w:sz w:val="40"/>
          <w:szCs w:val="40"/>
          <w:shd w:val="clear" w:color="auto" w:fill="FFFFFF"/>
        </w:rPr>
      </w:pPr>
      <w:r>
        <w:rPr>
          <w:rFonts w:hint="eastAsia" w:ascii="宋体" w:hAnsi="宋体" w:eastAsia="宋体" w:cs="宋体"/>
          <w:b/>
          <w:bCs/>
          <w:color w:val="000000"/>
          <w:sz w:val="40"/>
          <w:szCs w:val="40"/>
          <w:shd w:val="clear" w:color="auto" w:fill="FFFFFF"/>
        </w:rPr>
        <w:t>坪坝营四洞峡景区危岩防治工程</w:t>
      </w:r>
    </w:p>
    <w:p>
      <w:pPr>
        <w:spacing w:line="220" w:lineRule="atLeast"/>
        <w:jc w:val="center"/>
        <w:rPr>
          <w:rFonts w:ascii="宋体" w:hAnsi="宋体" w:eastAsia="宋体" w:cs="宋体"/>
          <w:b/>
          <w:bCs/>
          <w:color w:val="000000"/>
          <w:sz w:val="38"/>
          <w:szCs w:val="38"/>
          <w:shd w:val="clear" w:color="auto" w:fill="FFFFFF"/>
        </w:rPr>
      </w:pPr>
      <w:r>
        <w:rPr>
          <w:rFonts w:hint="eastAsia" w:ascii="宋体" w:hAnsi="宋体" w:eastAsia="宋体" w:cs="宋体"/>
          <w:b/>
          <w:bCs/>
          <w:color w:val="000000"/>
          <w:sz w:val="38"/>
          <w:szCs w:val="38"/>
          <w:shd w:val="clear" w:color="auto" w:fill="FFFFFF"/>
        </w:rPr>
        <w:t>勘察及设计项目</w:t>
      </w:r>
    </w:p>
    <w:p>
      <w:pPr>
        <w:jc w:val="center"/>
        <w:rPr>
          <w:rFonts w:ascii="宋体" w:hAnsi="宋体" w:eastAsia="宋体" w:cs="宋体"/>
          <w:b/>
          <w:bCs/>
          <w:color w:val="000000"/>
          <w:sz w:val="40"/>
          <w:szCs w:val="40"/>
          <w:shd w:val="clear" w:color="auto" w:fill="FFFFFF"/>
        </w:rPr>
      </w:pPr>
    </w:p>
    <w:p>
      <w:pPr>
        <w:spacing w:line="220" w:lineRule="atLeast"/>
        <w:jc w:val="center"/>
        <w:rPr>
          <w:rFonts w:ascii="宋体" w:hAnsi="宋体" w:eastAsia="宋体" w:cs="宋体"/>
        </w:rPr>
      </w:pPr>
    </w:p>
    <w:p>
      <w:pPr>
        <w:spacing w:line="220" w:lineRule="atLeast"/>
        <w:jc w:val="both"/>
        <w:rPr>
          <w:rFonts w:ascii="宋体" w:hAnsi="宋体" w:eastAsia="宋体" w:cs="宋体"/>
        </w:rPr>
      </w:pPr>
    </w:p>
    <w:p>
      <w:pPr>
        <w:spacing w:line="220" w:lineRule="atLeast"/>
        <w:jc w:val="center"/>
        <w:rPr>
          <w:rFonts w:ascii="宋体" w:hAnsi="宋体" w:eastAsia="宋体" w:cs="宋体"/>
          <w:b/>
          <w:sz w:val="44"/>
          <w:szCs w:val="44"/>
        </w:rPr>
      </w:pPr>
      <w:r>
        <w:rPr>
          <w:rFonts w:hint="eastAsia" w:ascii="宋体" w:hAnsi="宋体" w:eastAsia="宋体" w:cs="宋体"/>
          <w:b/>
          <w:sz w:val="44"/>
          <w:szCs w:val="44"/>
        </w:rPr>
        <w:t>竞</w:t>
      </w:r>
    </w:p>
    <w:p>
      <w:pPr>
        <w:spacing w:line="220" w:lineRule="atLeast"/>
        <w:jc w:val="center"/>
        <w:rPr>
          <w:rFonts w:ascii="宋体" w:hAnsi="宋体" w:eastAsia="宋体" w:cs="宋体"/>
          <w:b/>
          <w:sz w:val="44"/>
          <w:szCs w:val="44"/>
        </w:rPr>
      </w:pPr>
      <w:r>
        <w:rPr>
          <w:rFonts w:hint="eastAsia" w:ascii="宋体" w:hAnsi="宋体" w:eastAsia="宋体" w:cs="宋体"/>
          <w:b/>
          <w:sz w:val="44"/>
          <w:szCs w:val="44"/>
        </w:rPr>
        <w:t>争</w:t>
      </w:r>
    </w:p>
    <w:p>
      <w:pPr>
        <w:spacing w:line="220" w:lineRule="atLeast"/>
        <w:jc w:val="center"/>
        <w:rPr>
          <w:rFonts w:ascii="宋体" w:hAnsi="宋体" w:eastAsia="宋体" w:cs="宋体"/>
          <w:b/>
          <w:sz w:val="44"/>
          <w:szCs w:val="44"/>
        </w:rPr>
      </w:pPr>
      <w:r>
        <w:rPr>
          <w:rFonts w:hint="eastAsia" w:ascii="宋体" w:hAnsi="宋体" w:eastAsia="宋体" w:cs="宋体"/>
          <w:b/>
          <w:sz w:val="44"/>
          <w:szCs w:val="44"/>
        </w:rPr>
        <w:t>性</w:t>
      </w:r>
    </w:p>
    <w:p>
      <w:pPr>
        <w:spacing w:line="220" w:lineRule="atLeast"/>
        <w:jc w:val="center"/>
        <w:rPr>
          <w:rFonts w:ascii="宋体" w:hAnsi="宋体" w:eastAsia="宋体" w:cs="宋体"/>
          <w:b/>
          <w:sz w:val="44"/>
          <w:szCs w:val="44"/>
        </w:rPr>
      </w:pPr>
      <w:r>
        <w:rPr>
          <w:rFonts w:hint="eastAsia" w:ascii="宋体" w:hAnsi="宋体" w:eastAsia="宋体" w:cs="宋体"/>
          <w:b/>
          <w:sz w:val="44"/>
          <w:szCs w:val="44"/>
        </w:rPr>
        <w:t>磋</w:t>
      </w:r>
    </w:p>
    <w:p>
      <w:pPr>
        <w:spacing w:line="220" w:lineRule="atLeast"/>
        <w:jc w:val="center"/>
        <w:rPr>
          <w:rFonts w:ascii="宋体" w:hAnsi="宋体" w:eastAsia="宋体" w:cs="宋体"/>
          <w:b/>
          <w:sz w:val="44"/>
          <w:szCs w:val="44"/>
        </w:rPr>
      </w:pPr>
      <w:r>
        <w:rPr>
          <w:rFonts w:hint="eastAsia" w:ascii="宋体" w:hAnsi="宋体" w:eastAsia="宋体" w:cs="宋体"/>
          <w:b/>
          <w:sz w:val="44"/>
          <w:szCs w:val="44"/>
        </w:rPr>
        <w:t>商</w:t>
      </w:r>
    </w:p>
    <w:p>
      <w:pPr>
        <w:spacing w:line="220" w:lineRule="atLeast"/>
        <w:jc w:val="center"/>
        <w:rPr>
          <w:rFonts w:ascii="宋体" w:hAnsi="宋体" w:eastAsia="宋体" w:cs="宋体"/>
          <w:b/>
          <w:sz w:val="44"/>
          <w:szCs w:val="44"/>
        </w:rPr>
      </w:pPr>
      <w:r>
        <w:rPr>
          <w:rFonts w:hint="eastAsia" w:ascii="宋体" w:hAnsi="宋体" w:eastAsia="宋体" w:cs="宋体"/>
          <w:b/>
          <w:sz w:val="44"/>
          <w:szCs w:val="44"/>
        </w:rPr>
        <w:t>文</w:t>
      </w:r>
    </w:p>
    <w:p>
      <w:pPr>
        <w:spacing w:line="220" w:lineRule="atLeast"/>
        <w:jc w:val="center"/>
        <w:rPr>
          <w:rFonts w:ascii="宋体" w:hAnsi="宋体" w:eastAsia="宋体" w:cs="宋体"/>
          <w:b/>
          <w:sz w:val="44"/>
          <w:szCs w:val="44"/>
        </w:rPr>
      </w:pPr>
      <w:r>
        <w:rPr>
          <w:rFonts w:hint="eastAsia" w:ascii="宋体" w:hAnsi="宋体" w:eastAsia="宋体" w:cs="宋体"/>
          <w:b/>
          <w:sz w:val="44"/>
          <w:szCs w:val="44"/>
        </w:rPr>
        <w:t>件</w:t>
      </w:r>
    </w:p>
    <w:p>
      <w:pPr>
        <w:spacing w:line="220" w:lineRule="atLeast"/>
        <w:rPr>
          <w:rFonts w:ascii="宋体" w:hAnsi="宋体" w:eastAsia="宋体" w:cs="宋体"/>
        </w:rPr>
      </w:pPr>
    </w:p>
    <w:p>
      <w:pPr>
        <w:spacing w:line="220" w:lineRule="atLeast"/>
        <w:rPr>
          <w:rFonts w:ascii="宋体" w:hAnsi="宋体" w:eastAsia="宋体" w:cs="宋体"/>
        </w:rPr>
      </w:pPr>
    </w:p>
    <w:p>
      <w:pPr>
        <w:spacing w:line="220" w:lineRule="atLeast"/>
        <w:rPr>
          <w:rFonts w:ascii="宋体" w:hAnsi="宋体" w:eastAsia="宋体" w:cs="宋体"/>
        </w:rPr>
      </w:pPr>
    </w:p>
    <w:p>
      <w:pPr>
        <w:ind w:firstLine="1446" w:firstLineChars="400"/>
        <w:jc w:val="both"/>
        <w:rPr>
          <w:rFonts w:ascii="宋体" w:hAnsi="宋体" w:eastAsia="宋体" w:cs="宋体"/>
          <w:b/>
          <w:bCs/>
          <w:sz w:val="36"/>
          <w:szCs w:val="36"/>
        </w:rPr>
      </w:pPr>
      <w:r>
        <w:rPr>
          <w:rFonts w:hint="eastAsia" w:ascii="宋体" w:hAnsi="宋体" w:eastAsia="宋体" w:cs="宋体"/>
          <w:b/>
          <w:bCs/>
          <w:sz w:val="36"/>
          <w:szCs w:val="36"/>
        </w:rPr>
        <w:t>招 标 人：</w:t>
      </w:r>
      <w:r>
        <w:rPr>
          <w:rFonts w:hint="eastAsia" w:ascii="宋体" w:hAnsi="宋体" w:eastAsia="宋体" w:cs="宋体"/>
          <w:b/>
          <w:bCs/>
          <w:sz w:val="36"/>
          <w:szCs w:val="36"/>
          <w:u w:val="single"/>
        </w:rPr>
        <w:t>咸丰三特旅游开发有限公司</w:t>
      </w:r>
    </w:p>
    <w:p>
      <w:pPr>
        <w:ind w:firstLine="1446" w:firstLineChars="400"/>
        <w:jc w:val="both"/>
        <w:rPr>
          <w:rFonts w:ascii="宋体" w:hAnsi="宋体" w:eastAsia="宋体" w:cs="宋体"/>
          <w:b/>
          <w:bCs/>
          <w:sz w:val="36"/>
          <w:szCs w:val="36"/>
          <w:u w:val="single"/>
        </w:rPr>
      </w:pPr>
      <w:r>
        <w:rPr>
          <w:rFonts w:hint="eastAsia" w:ascii="宋体" w:hAnsi="宋体" w:eastAsia="宋体" w:cs="宋体"/>
          <w:b/>
          <w:bCs/>
          <w:sz w:val="36"/>
          <w:szCs w:val="36"/>
        </w:rPr>
        <w:t>项目编号：</w:t>
      </w:r>
      <w:r>
        <w:rPr>
          <w:rFonts w:hint="eastAsia" w:ascii="宋体" w:hAnsi="宋体" w:eastAsia="宋体" w:cs="宋体"/>
          <w:b/>
          <w:bCs/>
          <w:sz w:val="36"/>
          <w:szCs w:val="36"/>
          <w:u w:val="single"/>
        </w:rPr>
        <w:t xml:space="preserve">      XFST-2018005      </w:t>
      </w:r>
    </w:p>
    <w:p>
      <w:pPr>
        <w:jc w:val="center"/>
        <w:rPr>
          <w:rFonts w:ascii="宋体" w:hAnsi="宋体" w:eastAsia="宋体" w:cs="宋体"/>
          <w:b/>
          <w:bCs/>
          <w:sz w:val="36"/>
          <w:szCs w:val="36"/>
        </w:rPr>
      </w:pPr>
      <w:r>
        <w:rPr>
          <w:rFonts w:hint="eastAsia" w:ascii="宋体" w:hAnsi="宋体" w:eastAsia="宋体" w:cs="宋体"/>
          <w:b/>
          <w:bCs/>
          <w:sz w:val="36"/>
          <w:szCs w:val="36"/>
        </w:rPr>
        <w:t xml:space="preserve">    2018年11月0</w:t>
      </w:r>
      <w:r>
        <w:rPr>
          <w:rFonts w:hint="eastAsia" w:ascii="宋体" w:hAnsi="宋体" w:eastAsia="宋体" w:cs="宋体"/>
          <w:b/>
          <w:bCs/>
          <w:sz w:val="36"/>
          <w:szCs w:val="36"/>
          <w:lang w:val="en-US" w:eastAsia="zh-CN"/>
        </w:rPr>
        <w:t>6</w:t>
      </w:r>
      <w:r>
        <w:rPr>
          <w:rFonts w:hint="eastAsia" w:ascii="宋体" w:hAnsi="宋体" w:eastAsia="宋体" w:cs="宋体"/>
          <w:b/>
          <w:bCs/>
          <w:sz w:val="36"/>
          <w:szCs w:val="36"/>
        </w:rPr>
        <w:t>日</w:t>
      </w:r>
    </w:p>
    <w:p>
      <w:pPr>
        <w:jc w:val="center"/>
        <w:rPr>
          <w:rFonts w:ascii="宋体" w:hAnsi="宋体"/>
          <w:b/>
          <w:bCs/>
          <w:sz w:val="36"/>
          <w:szCs w:val="36"/>
        </w:rPr>
      </w:pPr>
    </w:p>
    <w:p>
      <w:pPr>
        <w:jc w:val="center"/>
        <w:rPr>
          <w:rFonts w:ascii="宋体" w:hAnsi="宋体"/>
          <w:b/>
          <w:bCs/>
          <w:sz w:val="36"/>
          <w:szCs w:val="36"/>
        </w:rPr>
        <w:sectPr>
          <w:headerReference r:id="rId3" w:type="default"/>
          <w:footerReference r:id="rId4" w:type="default"/>
          <w:pgSz w:w="11906" w:h="16838"/>
          <w:pgMar w:top="1440" w:right="1800" w:bottom="1440" w:left="1800" w:header="708" w:footer="708" w:gutter="0"/>
          <w:pgNumType w:start="1"/>
          <w:cols w:space="720" w:num="1"/>
          <w:docGrid w:linePitch="360" w:charSpace="0"/>
        </w:sectPr>
      </w:pPr>
    </w:p>
    <w:p/>
    <w:p>
      <w:pPr>
        <w:jc w:val="center"/>
        <w:rPr>
          <w:rFonts w:ascii="宋体" w:hAnsi="宋体"/>
          <w:b/>
          <w:bCs/>
          <w:sz w:val="36"/>
          <w:szCs w:val="36"/>
        </w:rPr>
      </w:pPr>
      <w:r>
        <w:rPr>
          <w:rFonts w:hint="eastAsia" w:ascii="宋体" w:hAnsi="宋体"/>
          <w:b/>
          <w:bCs/>
          <w:sz w:val="36"/>
          <w:szCs w:val="36"/>
        </w:rPr>
        <w:t>第一章  竞争性磋商公告</w:t>
      </w:r>
    </w:p>
    <w:p>
      <w:pPr>
        <w:jc w:val="both"/>
        <w:rPr>
          <w:rFonts w:ascii="宋体" w:hAnsi="宋体"/>
          <w:b/>
          <w:bCs/>
          <w:sz w:val="36"/>
          <w:szCs w:val="36"/>
        </w:rPr>
      </w:pPr>
    </w:p>
    <w:p>
      <w:pPr>
        <w:spacing w:line="220" w:lineRule="atLeast"/>
        <w:jc w:val="center"/>
        <w:rPr>
          <w:rFonts w:ascii="微软雅黑" w:hAnsi="微软雅黑" w:cs="微软雅黑"/>
          <w:b/>
          <w:bCs/>
          <w:color w:val="000000"/>
          <w:sz w:val="32"/>
          <w:szCs w:val="32"/>
          <w:shd w:val="clear" w:color="auto" w:fill="FFFFFF"/>
        </w:rPr>
      </w:pPr>
      <w:r>
        <w:rPr>
          <w:rFonts w:hint="eastAsia" w:ascii="微软雅黑" w:hAnsi="微软雅黑" w:cs="微软雅黑"/>
          <w:b/>
          <w:bCs/>
          <w:color w:val="000000"/>
          <w:sz w:val="32"/>
          <w:szCs w:val="32"/>
          <w:shd w:val="clear" w:color="auto" w:fill="FFFFFF"/>
        </w:rPr>
        <w:t>坪坝营四洞峡景区危岩防治工程勘察及设计项目</w:t>
      </w:r>
    </w:p>
    <w:p>
      <w:pPr>
        <w:spacing w:line="220" w:lineRule="atLeast"/>
        <w:jc w:val="center"/>
        <w:rPr>
          <w:rFonts w:ascii="微软雅黑" w:hAnsi="微软雅黑" w:cs="微软雅黑"/>
          <w:b/>
          <w:bCs/>
          <w:sz w:val="32"/>
          <w:szCs w:val="24"/>
        </w:rPr>
      </w:pPr>
      <w:r>
        <w:rPr>
          <w:rFonts w:hint="eastAsia" w:ascii="微软雅黑" w:hAnsi="微软雅黑" w:cs="微软雅黑"/>
          <w:b/>
          <w:bCs/>
          <w:sz w:val="32"/>
          <w:szCs w:val="24"/>
        </w:rPr>
        <w:t>竞争性磋商公告</w:t>
      </w:r>
    </w:p>
    <w:p>
      <w:pPr>
        <w:spacing w:after="0" w:line="360" w:lineRule="auto"/>
        <w:ind w:firstLine="600" w:firstLineChars="250"/>
        <w:jc w:val="both"/>
        <w:rPr>
          <w:rFonts w:ascii="仿宋" w:hAnsi="仿宋" w:eastAsia="仿宋"/>
          <w:sz w:val="24"/>
          <w:szCs w:val="24"/>
        </w:rPr>
      </w:pPr>
      <w:r>
        <w:rPr>
          <w:rFonts w:hint="eastAsia" w:ascii="仿宋" w:hAnsi="仿宋" w:eastAsia="仿宋" w:cs="仿宋"/>
          <w:color w:val="000000"/>
          <w:sz w:val="24"/>
          <w:szCs w:val="24"/>
          <w:u w:val="single"/>
          <w:shd w:val="clear" w:color="auto" w:fill="FFFFFF"/>
        </w:rPr>
        <w:t xml:space="preserve">咸丰三特旅游开发有限公司 </w:t>
      </w:r>
      <w:r>
        <w:rPr>
          <w:rFonts w:hint="eastAsia" w:ascii="仿宋" w:hAnsi="仿宋" w:eastAsia="仿宋" w:cs="Times New Roman"/>
          <w:sz w:val="24"/>
          <w:szCs w:val="24"/>
        </w:rPr>
        <w:t>拟对</w:t>
      </w:r>
      <w:r>
        <w:rPr>
          <w:rFonts w:hint="eastAsia" w:ascii="仿宋" w:hAnsi="仿宋" w:eastAsia="仿宋" w:cs="Times New Roman"/>
          <w:sz w:val="24"/>
          <w:szCs w:val="24"/>
          <w:u w:val="single"/>
        </w:rPr>
        <w:t xml:space="preserve"> </w:t>
      </w:r>
      <w:r>
        <w:rPr>
          <w:rFonts w:hint="eastAsia" w:ascii="仿宋" w:hAnsi="仿宋" w:eastAsia="仿宋" w:cs="仿宋"/>
          <w:color w:val="000000"/>
          <w:sz w:val="24"/>
          <w:szCs w:val="24"/>
          <w:u w:val="single"/>
          <w:shd w:val="clear" w:color="auto" w:fill="FFFFFF"/>
        </w:rPr>
        <w:t>坪坝营四洞峡景区危岩防治工程勘察及设计项目</w:t>
      </w:r>
      <w:r>
        <w:rPr>
          <w:rFonts w:hint="eastAsia" w:ascii="仿宋" w:hAnsi="仿宋" w:eastAsia="仿宋" w:cs="Times New Roman"/>
          <w:sz w:val="24"/>
          <w:szCs w:val="24"/>
        </w:rPr>
        <w:t>进行勘察设计单位招标，</w:t>
      </w:r>
      <w:r>
        <w:rPr>
          <w:rFonts w:hint="eastAsia" w:ascii="仿宋" w:hAnsi="仿宋" w:eastAsia="仿宋"/>
          <w:sz w:val="24"/>
          <w:szCs w:val="24"/>
        </w:rPr>
        <w:t>欢迎符合条件的勘察设计单位前来投标。</w:t>
      </w:r>
    </w:p>
    <w:p>
      <w:pPr>
        <w:overflowPunct w:val="0"/>
        <w:spacing w:after="0" w:line="360" w:lineRule="auto"/>
        <w:jc w:val="both"/>
        <w:rPr>
          <w:rFonts w:ascii="仿宋" w:hAnsi="仿宋" w:eastAsia="仿宋" w:cs="仿宋"/>
          <w:color w:val="000000"/>
          <w:sz w:val="24"/>
          <w:szCs w:val="24"/>
          <w:shd w:val="clear" w:color="auto" w:fill="FFFFFF"/>
        </w:rPr>
      </w:pPr>
      <w:r>
        <w:rPr>
          <w:rFonts w:hint="eastAsia" w:ascii="仿宋" w:hAnsi="仿宋" w:eastAsia="仿宋"/>
          <w:b/>
          <w:sz w:val="24"/>
          <w:szCs w:val="24"/>
        </w:rPr>
        <w:t xml:space="preserve">     1、项目名称：</w:t>
      </w:r>
      <w:r>
        <w:rPr>
          <w:rFonts w:hint="eastAsia" w:ascii="仿宋" w:hAnsi="仿宋" w:eastAsia="仿宋" w:cs="仿宋"/>
          <w:color w:val="000000"/>
          <w:sz w:val="24"/>
          <w:szCs w:val="24"/>
          <w:shd w:val="clear" w:color="auto" w:fill="FFFFFF"/>
        </w:rPr>
        <w:t>坪坝营四洞峡景区危岩防治工程勘察及设计项目</w:t>
      </w:r>
    </w:p>
    <w:p>
      <w:pPr>
        <w:overflowPunct w:val="0"/>
        <w:spacing w:after="0" w:line="360" w:lineRule="auto"/>
        <w:jc w:val="both"/>
        <w:rPr>
          <w:rFonts w:ascii="仿宋" w:hAnsi="仿宋" w:eastAsia="仿宋" w:cs="宋体"/>
          <w:sz w:val="24"/>
          <w:szCs w:val="24"/>
        </w:rPr>
      </w:pPr>
      <w:r>
        <w:rPr>
          <w:rFonts w:hint="eastAsia" w:ascii="仿宋" w:hAnsi="仿宋" w:eastAsia="仿宋"/>
          <w:b/>
          <w:sz w:val="24"/>
          <w:szCs w:val="24"/>
        </w:rPr>
        <w:t xml:space="preserve">     2、项目概况：</w:t>
      </w:r>
      <w:r>
        <w:rPr>
          <w:rFonts w:hint="eastAsia" w:ascii="仿宋" w:hAnsi="仿宋" w:eastAsia="仿宋"/>
          <w:sz w:val="24"/>
          <w:szCs w:val="24"/>
        </w:rPr>
        <w:t>坪坝营四洞峡风景区位于咸丰县坪坝营境内，是</w:t>
      </w:r>
      <w:r>
        <w:fldChar w:fldCharType="begin"/>
      </w:r>
      <w:r>
        <w:instrText xml:space="preserve"> HYPERLINK "https://baike.baidu.com/item/%E5%9B%BD%E5%AE%B6AAAAA%E7%BA%A7%E6%97%85%E6%B8%B8%E6%99%AF%E5%8C%BA" \t "_blank" </w:instrText>
      </w:r>
      <w:r>
        <w:fldChar w:fldCharType="separate"/>
      </w:r>
      <w:r>
        <w:rPr>
          <w:rFonts w:hint="eastAsia" w:ascii="仿宋" w:hAnsi="仿宋" w:eastAsia="仿宋"/>
          <w:sz w:val="24"/>
          <w:szCs w:val="24"/>
        </w:rPr>
        <w:t>国家</w:t>
      </w:r>
      <w:r>
        <w:rPr>
          <w:rFonts w:ascii="仿宋" w:hAnsi="仿宋" w:eastAsia="仿宋"/>
          <w:sz w:val="24"/>
          <w:szCs w:val="24"/>
        </w:rPr>
        <w:t>AAAA</w:t>
      </w:r>
      <w:r>
        <w:rPr>
          <w:rFonts w:hint="eastAsia" w:ascii="仿宋" w:hAnsi="仿宋" w:eastAsia="仿宋"/>
          <w:sz w:val="24"/>
          <w:szCs w:val="24"/>
        </w:rPr>
        <w:t>级旅游景区</w:t>
      </w:r>
      <w:r>
        <w:rPr>
          <w:rFonts w:hint="eastAsia" w:ascii="仿宋" w:hAnsi="仿宋" w:eastAsia="仿宋"/>
          <w:sz w:val="24"/>
          <w:szCs w:val="24"/>
        </w:rPr>
        <w:fldChar w:fldCharType="end"/>
      </w:r>
      <w:r>
        <w:rPr>
          <w:rFonts w:hint="eastAsia" w:ascii="仿宋" w:hAnsi="仿宋" w:eastAsia="仿宋"/>
          <w:sz w:val="24"/>
          <w:szCs w:val="24"/>
        </w:rPr>
        <w:t>，绝壁、岩柱群、溶洞等自然地质景观，这些特殊的地貌景观也是危岩或危岩伴生区。为减少危岩带来的灾害，拟对危岩进行治理，本次招标内容为危岩治理勘察与设计，具体内容为：查明景区危岩的分布位置、数量、发育特征、稳定性、危害性等，为危岩防治提供地质依据，并进行防治方案设计及施工图设计。</w:t>
      </w:r>
    </w:p>
    <w:p>
      <w:pPr>
        <w:spacing w:after="0" w:line="360" w:lineRule="auto"/>
        <w:ind w:firstLine="602" w:firstLineChars="250"/>
        <w:jc w:val="both"/>
        <w:rPr>
          <w:rFonts w:ascii="仿宋" w:hAnsi="仿宋" w:eastAsia="仿宋"/>
          <w:sz w:val="24"/>
          <w:szCs w:val="24"/>
        </w:rPr>
      </w:pPr>
      <w:r>
        <w:rPr>
          <w:rFonts w:hint="eastAsia" w:ascii="仿宋" w:hAnsi="仿宋" w:eastAsia="仿宋"/>
          <w:b/>
          <w:sz w:val="24"/>
          <w:szCs w:val="24"/>
        </w:rPr>
        <w:t>3、招标编号：</w:t>
      </w:r>
      <w:r>
        <w:rPr>
          <w:rFonts w:hint="eastAsia" w:ascii="仿宋" w:hAnsi="仿宋" w:eastAsia="仿宋"/>
          <w:sz w:val="24"/>
          <w:szCs w:val="24"/>
        </w:rPr>
        <w:t>XFST-2018005</w:t>
      </w:r>
    </w:p>
    <w:p>
      <w:pPr>
        <w:spacing w:after="0" w:line="360" w:lineRule="auto"/>
        <w:ind w:firstLine="602" w:firstLineChars="250"/>
        <w:jc w:val="both"/>
        <w:rPr>
          <w:rFonts w:ascii="仿宋" w:hAnsi="仿宋" w:eastAsia="仿宋"/>
          <w:sz w:val="24"/>
          <w:szCs w:val="24"/>
        </w:rPr>
      </w:pPr>
      <w:r>
        <w:rPr>
          <w:rFonts w:hint="eastAsia" w:ascii="仿宋" w:hAnsi="仿宋" w:eastAsia="仿宋"/>
          <w:b/>
          <w:sz w:val="24"/>
          <w:szCs w:val="24"/>
        </w:rPr>
        <w:t>4、招标方式：</w:t>
      </w:r>
      <w:r>
        <w:rPr>
          <w:rFonts w:hint="eastAsia" w:ascii="仿宋" w:hAnsi="仿宋" w:eastAsia="仿宋"/>
          <w:sz w:val="24"/>
          <w:szCs w:val="24"/>
        </w:rPr>
        <w:t>竞争性磋商</w:t>
      </w:r>
    </w:p>
    <w:p>
      <w:pPr>
        <w:spacing w:after="0" w:line="360" w:lineRule="auto"/>
        <w:ind w:firstLine="602" w:firstLineChars="250"/>
        <w:jc w:val="both"/>
        <w:rPr>
          <w:rFonts w:ascii="仿宋" w:hAnsi="仿宋" w:eastAsia="仿宋"/>
          <w:b/>
          <w:sz w:val="24"/>
          <w:szCs w:val="24"/>
        </w:rPr>
      </w:pPr>
      <w:r>
        <w:rPr>
          <w:rFonts w:hint="eastAsia" w:ascii="仿宋" w:hAnsi="仿宋" w:eastAsia="仿宋"/>
          <w:b/>
          <w:sz w:val="24"/>
          <w:szCs w:val="24"/>
        </w:rPr>
        <w:t xml:space="preserve">5、招标内容： </w:t>
      </w:r>
    </w:p>
    <w:p>
      <w:pPr>
        <w:spacing w:after="0" w:line="360" w:lineRule="auto"/>
        <w:ind w:firstLine="600" w:firstLineChars="250"/>
        <w:jc w:val="both"/>
        <w:rPr>
          <w:rFonts w:ascii="仿宋" w:hAnsi="仿宋" w:eastAsia="仿宋" w:cs="Times New Roman"/>
          <w:sz w:val="24"/>
          <w:szCs w:val="24"/>
        </w:rPr>
      </w:pPr>
      <w:r>
        <w:rPr>
          <w:rFonts w:hint="eastAsia" w:ascii="仿宋" w:hAnsi="仿宋" w:eastAsia="仿宋"/>
          <w:sz w:val="24"/>
          <w:szCs w:val="24"/>
        </w:rPr>
        <w:t>5.1招标内容：</w:t>
      </w:r>
      <w:r>
        <w:rPr>
          <w:rFonts w:hint="eastAsia" w:ascii="仿宋" w:hAnsi="仿宋" w:eastAsia="仿宋" w:cs="Times New Roman"/>
          <w:sz w:val="24"/>
          <w:szCs w:val="24"/>
        </w:rPr>
        <w:t>坪坝营四洞峡旅游风景区危岩调查与防治项目勘察</w:t>
      </w:r>
      <w:r>
        <w:rPr>
          <w:rFonts w:hint="eastAsia" w:ascii="仿宋" w:hAnsi="仿宋" w:eastAsia="仿宋" w:cs="Times New Roman"/>
          <w:sz w:val="24"/>
          <w:szCs w:val="24"/>
          <w:lang w:eastAsia="zh-CN"/>
        </w:rPr>
        <w:t>及</w:t>
      </w:r>
      <w:r>
        <w:rPr>
          <w:rFonts w:hint="eastAsia" w:ascii="仿宋" w:hAnsi="仿宋" w:eastAsia="仿宋" w:cs="Times New Roman"/>
          <w:sz w:val="24"/>
          <w:szCs w:val="24"/>
        </w:rPr>
        <w:t>设计</w:t>
      </w:r>
    </w:p>
    <w:p>
      <w:pPr>
        <w:spacing w:after="0" w:line="360" w:lineRule="auto"/>
        <w:ind w:firstLine="602" w:firstLineChars="250"/>
        <w:jc w:val="both"/>
        <w:rPr>
          <w:rFonts w:ascii="仿宋" w:hAnsi="仿宋" w:eastAsia="仿宋"/>
          <w:sz w:val="24"/>
          <w:szCs w:val="24"/>
        </w:rPr>
      </w:pPr>
      <w:r>
        <w:rPr>
          <w:rFonts w:hint="eastAsia" w:ascii="仿宋" w:hAnsi="仿宋" w:eastAsia="仿宋"/>
          <w:b/>
          <w:sz w:val="24"/>
          <w:szCs w:val="24"/>
        </w:rPr>
        <w:t>6、设计工期</w:t>
      </w:r>
      <w:r>
        <w:rPr>
          <w:rFonts w:hint="eastAsia" w:ascii="仿宋" w:hAnsi="仿宋" w:eastAsia="仿宋"/>
          <w:sz w:val="24"/>
          <w:szCs w:val="24"/>
        </w:rPr>
        <w:t>：45日历天</w:t>
      </w:r>
    </w:p>
    <w:p>
      <w:pPr>
        <w:spacing w:after="0" w:line="360" w:lineRule="auto"/>
        <w:ind w:firstLine="602" w:firstLineChars="250"/>
        <w:jc w:val="both"/>
        <w:rPr>
          <w:rFonts w:ascii="仿宋" w:hAnsi="仿宋" w:eastAsia="仿宋"/>
          <w:b/>
          <w:sz w:val="24"/>
          <w:szCs w:val="24"/>
        </w:rPr>
      </w:pPr>
      <w:r>
        <w:rPr>
          <w:rFonts w:hint="eastAsia" w:ascii="仿宋" w:hAnsi="仿宋" w:eastAsia="仿宋"/>
          <w:b/>
          <w:sz w:val="24"/>
          <w:szCs w:val="24"/>
        </w:rPr>
        <w:t xml:space="preserve">7、投标人资格条件 </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 xml:space="preserve">7.1本次招标要求投标人同时具备以下条件: </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 xml:space="preserve">（1）符合《政府采购法》第二十二条规定的投标人资格条件； </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（2）同时具有中华人民共和国国土资源部颁发的地质灾害防治勘察乙级及以上资质和地质灾害防治设计乙级及以上资质；</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（3）近三年独立承担过至少一项类似勘察及设计工程（类似工程是指地质灾害治理工程）；</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（4）拟派的项目负责人具有地质勘察高级工程师职称证书或注册岩土工程师证书，且为本单位人员；</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（5）投标人及其法定代表人和拟派的项目负责人近三年内无犯罪记录（自法院判决生效之日起至本次采购磋商公告发布之日止三年内，要求在开标时提供“中国裁判文书网”查询截图）； </w:t>
      </w:r>
    </w:p>
    <w:p>
      <w:pPr>
        <w:spacing w:after="0" w:line="440" w:lineRule="exact"/>
        <w:ind w:firstLine="600" w:firstLineChars="250"/>
        <w:jc w:val="both"/>
        <w:rPr>
          <w:rFonts w:ascii="仿宋" w:hAnsi="仿宋" w:eastAsia="仿宋"/>
          <w:sz w:val="24"/>
          <w:szCs w:val="24"/>
        </w:rPr>
      </w:pPr>
      <w:r>
        <w:rPr>
          <w:rFonts w:hint="eastAsia" w:ascii="仿宋" w:hAnsi="仿宋" w:eastAsia="仿宋"/>
          <w:sz w:val="24"/>
          <w:szCs w:val="24"/>
        </w:rPr>
        <w:t>（6）</w:t>
      </w:r>
      <w:r>
        <w:rPr>
          <w:rFonts w:hint="eastAsia" w:ascii="仿宋" w:hAnsi="仿宋" w:eastAsia="仿宋"/>
          <w:kern w:val="10"/>
          <w:sz w:val="24"/>
          <w:szCs w:val="24"/>
        </w:rPr>
        <w:t>投标人在参加投标活动前三年内，在经营活动中没有重大违法记录（提供书面声明）；没有不良行为记录（提供全国建筑市场监管公共服务平台查询记录截图和信用中国查询截图）；</w:t>
      </w:r>
    </w:p>
    <w:p>
      <w:pPr>
        <w:spacing w:after="0" w:line="440" w:lineRule="exact"/>
        <w:ind w:firstLine="480" w:firstLineChars="200"/>
        <w:rPr>
          <w:rFonts w:ascii="仿宋" w:hAnsi="仿宋" w:eastAsia="仿宋"/>
          <w:kern w:val="10"/>
          <w:sz w:val="24"/>
          <w:szCs w:val="24"/>
        </w:rPr>
      </w:pPr>
      <w:r>
        <w:rPr>
          <w:rFonts w:hint="eastAsia" w:ascii="仿宋" w:hAnsi="仿宋" w:eastAsia="仿宋"/>
          <w:sz w:val="24"/>
          <w:szCs w:val="24"/>
        </w:rPr>
        <w:t xml:space="preserve"> （7）</w:t>
      </w:r>
      <w:r>
        <w:rPr>
          <w:rFonts w:hint="eastAsia" w:ascii="仿宋" w:hAnsi="仿宋" w:eastAsia="仿宋"/>
          <w:kern w:val="10"/>
          <w:sz w:val="24"/>
          <w:szCs w:val="24"/>
        </w:rPr>
        <w:t>根据《关于落实</w:t>
      </w:r>
      <w:r>
        <w:rPr>
          <w:rFonts w:ascii="仿宋" w:hAnsi="仿宋" w:eastAsia="仿宋"/>
          <w:kern w:val="10"/>
          <w:sz w:val="24"/>
          <w:szCs w:val="24"/>
        </w:rPr>
        <w:t>&lt;</w:t>
      </w:r>
      <w:r>
        <w:rPr>
          <w:rFonts w:hint="eastAsia" w:ascii="仿宋" w:hAnsi="仿宋" w:eastAsia="仿宋"/>
          <w:kern w:val="10"/>
          <w:sz w:val="24"/>
          <w:szCs w:val="24"/>
        </w:rPr>
        <w:t>恩施州建设领域劳动者工资支付保障实施方法</w:t>
      </w:r>
      <w:r>
        <w:rPr>
          <w:rFonts w:ascii="仿宋" w:hAnsi="仿宋" w:eastAsia="仿宋"/>
          <w:kern w:val="10"/>
          <w:sz w:val="24"/>
          <w:szCs w:val="24"/>
        </w:rPr>
        <w:t>&gt;</w:t>
      </w:r>
      <w:r>
        <w:rPr>
          <w:rFonts w:hint="eastAsia" w:ascii="仿宋" w:hAnsi="仿宋" w:eastAsia="仿宋"/>
          <w:kern w:val="10"/>
          <w:sz w:val="24"/>
          <w:szCs w:val="24"/>
        </w:rPr>
        <w:t>相关规定的意见》的补充通知（恩施州人社函</w:t>
      </w:r>
      <w:r>
        <w:rPr>
          <w:rFonts w:ascii="仿宋" w:hAnsi="仿宋" w:eastAsia="仿宋"/>
          <w:kern w:val="10"/>
          <w:sz w:val="24"/>
          <w:szCs w:val="24"/>
        </w:rPr>
        <w:t>[2017]35</w:t>
      </w:r>
      <w:r>
        <w:rPr>
          <w:rFonts w:hint="eastAsia" w:ascii="仿宋" w:hAnsi="仿宋" w:eastAsia="仿宋"/>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pPr>
        <w:spacing w:after="0" w:line="440" w:lineRule="exact"/>
        <w:ind w:firstLine="600" w:firstLineChars="250"/>
        <w:jc w:val="both"/>
        <w:rPr>
          <w:rFonts w:ascii="仿宋" w:hAnsi="仿宋" w:eastAsia="仿宋"/>
          <w:sz w:val="24"/>
          <w:szCs w:val="24"/>
        </w:rPr>
      </w:pPr>
      <w:r>
        <w:rPr>
          <w:rFonts w:hint="eastAsia" w:ascii="仿宋" w:hAnsi="仿宋" w:eastAsia="仿宋"/>
          <w:sz w:val="24"/>
          <w:szCs w:val="24"/>
        </w:rPr>
        <w:t xml:space="preserve">（8）本次招标不接受联合体投标。 </w:t>
      </w:r>
    </w:p>
    <w:p>
      <w:pPr>
        <w:spacing w:after="0" w:line="440" w:lineRule="exact"/>
        <w:ind w:firstLine="602" w:firstLineChars="250"/>
        <w:jc w:val="both"/>
        <w:rPr>
          <w:rFonts w:ascii="仿宋" w:hAnsi="仿宋" w:eastAsia="仿宋"/>
          <w:b/>
          <w:sz w:val="24"/>
          <w:szCs w:val="24"/>
        </w:rPr>
      </w:pPr>
      <w:r>
        <w:rPr>
          <w:rFonts w:hint="eastAsia" w:ascii="仿宋" w:hAnsi="仿宋" w:eastAsia="仿宋"/>
          <w:b/>
          <w:sz w:val="24"/>
          <w:szCs w:val="24"/>
        </w:rPr>
        <w:t>8、磋商文件获取方式及报名方式：</w:t>
      </w:r>
    </w:p>
    <w:p>
      <w:pPr>
        <w:spacing w:after="0" w:line="440" w:lineRule="exact"/>
        <w:ind w:firstLine="600" w:firstLineChars="250"/>
        <w:jc w:val="both"/>
        <w:rPr>
          <w:rFonts w:ascii="仿宋" w:hAnsi="仿宋" w:eastAsia="仿宋" w:cs="仿宋"/>
          <w:color w:val="000000"/>
          <w:sz w:val="24"/>
          <w:szCs w:val="24"/>
        </w:rPr>
      </w:pPr>
      <w:r>
        <w:rPr>
          <w:rFonts w:hint="eastAsia" w:ascii="仿宋" w:hAnsi="仿宋" w:eastAsia="仿宋" w:cs="仿宋"/>
          <w:color w:val="000000"/>
          <w:sz w:val="24"/>
          <w:szCs w:val="24"/>
          <w:shd w:val="clear" w:color="auto" w:fill="FFFFFF"/>
        </w:rPr>
        <w:t>8.1凡有意参加投标者，请于2018年11月06日至2018年11月10日24时00分，登录</w:t>
      </w:r>
      <w:r>
        <w:fldChar w:fldCharType="begin"/>
      </w:r>
      <w:r>
        <w:instrText xml:space="preserve"> HYPERLINK "http://www.1ztour.com/" </w:instrText>
      </w:r>
      <w:r>
        <w:fldChar w:fldCharType="separate"/>
      </w:r>
      <w:r>
        <w:rPr>
          <w:rStyle w:val="24"/>
          <w:rFonts w:hint="eastAsia" w:ascii="仿宋" w:hAnsi="仿宋" w:eastAsia="仿宋" w:cs="仿宋"/>
          <w:color w:val="000000"/>
          <w:sz w:val="24"/>
          <w:szCs w:val="24"/>
          <w:u w:val="none"/>
          <w:shd w:val="clear" w:color="auto" w:fill="FFFFFF"/>
        </w:rPr>
        <w:t>玩转</w:t>
      </w:r>
      <w:r>
        <w:rPr>
          <w:rStyle w:val="24"/>
          <w:rFonts w:hint="eastAsia" w:ascii="仿宋" w:hAnsi="仿宋" w:eastAsia="仿宋" w:cs="仿宋"/>
          <w:color w:val="000000"/>
          <w:sz w:val="24"/>
          <w:szCs w:val="24"/>
          <w:u w:val="none"/>
          <w:shd w:val="clear" w:color="auto" w:fill="FFFFFF"/>
        </w:rPr>
        <w:fldChar w:fldCharType="end"/>
      </w:r>
      <w:r>
        <w:rPr>
          <w:rFonts w:hint="eastAsia" w:ascii="仿宋" w:hAnsi="仿宋" w:eastAsia="仿宋" w:cs="仿宋"/>
          <w:color w:val="000000"/>
          <w:sz w:val="24"/>
          <w:szCs w:val="24"/>
          <w:shd w:val="clear" w:color="auto" w:fill="FFFFFF"/>
        </w:rPr>
        <w:t>恩施网（http://www.1ztour.com/index.html）下载《投标单位报名表》登记报名并下载招标文件；</w:t>
      </w:r>
    </w:p>
    <w:p>
      <w:pPr>
        <w:pStyle w:val="21"/>
        <w:spacing w:before="150" w:line="420" w:lineRule="atLeast"/>
        <w:ind w:firstLine="600" w:firstLineChars="250"/>
        <w:rPr>
          <w:rFonts w:ascii="仿宋" w:hAnsi="仿宋" w:eastAsia="仿宋" w:cs="仿宋"/>
          <w:color w:val="000000"/>
          <w:szCs w:val="24"/>
        </w:rPr>
      </w:pPr>
      <w:r>
        <w:rPr>
          <w:rFonts w:hint="eastAsia" w:ascii="仿宋" w:hAnsi="仿宋" w:eastAsia="仿宋" w:cs="仿宋"/>
          <w:color w:val="000000"/>
          <w:szCs w:val="24"/>
          <w:shd w:val="clear" w:color="auto" w:fill="FFFFFF"/>
        </w:rPr>
        <w:t>8.2投标人填写完整《投标单位报名表》并加盖投标人公章后，将报名表扫描件（PDF格式）在报名期限内发于招标人电子邮（</w:t>
      </w:r>
      <w:r>
        <w:fldChar w:fldCharType="begin"/>
      </w:r>
      <w:r>
        <w:instrText xml:space="preserve"> HYPERLINK "mailto:309842876@qq.com" </w:instrText>
      </w:r>
      <w:r>
        <w:fldChar w:fldCharType="separate"/>
      </w:r>
      <w:r>
        <w:rPr>
          <w:rStyle w:val="24"/>
          <w:rFonts w:ascii="仿宋" w:hAnsi="仿宋" w:eastAsia="仿宋" w:cs="仿宋"/>
          <w:szCs w:val="24"/>
          <w:shd w:val="clear" w:color="auto" w:fill="FFFFFF"/>
        </w:rPr>
        <w:t>309842876</w:t>
      </w:r>
      <w:r>
        <w:rPr>
          <w:rStyle w:val="24"/>
          <w:rFonts w:hint="eastAsia" w:ascii="仿宋" w:hAnsi="仿宋" w:eastAsia="仿宋" w:cs="仿宋"/>
          <w:szCs w:val="24"/>
          <w:shd w:val="clear" w:color="auto" w:fill="FFFFFF"/>
        </w:rPr>
        <w:t>@qq.com</w:t>
      </w:r>
      <w:r>
        <w:rPr>
          <w:rStyle w:val="24"/>
          <w:rFonts w:hint="eastAsia" w:ascii="仿宋" w:hAnsi="仿宋" w:eastAsia="仿宋" w:cs="仿宋"/>
          <w:szCs w:val="24"/>
          <w:shd w:val="clear" w:color="auto" w:fill="FFFFFF"/>
        </w:rPr>
        <w:fldChar w:fldCharType="end"/>
      </w:r>
      <w:r>
        <w:rPr>
          <w:rFonts w:hint="eastAsia" w:ascii="仿宋" w:hAnsi="仿宋" w:eastAsia="仿宋" w:cs="仿宋"/>
          <w:color w:val="000000"/>
          <w:szCs w:val="24"/>
          <w:shd w:val="clear" w:color="auto" w:fill="FFFFFF"/>
        </w:rPr>
        <w:t>）；</w:t>
      </w:r>
      <w:r>
        <w:rPr>
          <w:rFonts w:hint="eastAsia" w:ascii="仿宋" w:hAnsi="仿宋" w:eastAsia="仿宋" w:cs="仿宋"/>
          <w:color w:val="000000"/>
          <w:szCs w:val="24"/>
        </w:rPr>
        <w:t xml:space="preserve">   </w:t>
      </w:r>
    </w:p>
    <w:p>
      <w:pPr>
        <w:pStyle w:val="21"/>
        <w:spacing w:before="150" w:line="420" w:lineRule="atLeast"/>
        <w:ind w:firstLine="600" w:firstLineChars="250"/>
        <w:rPr>
          <w:rFonts w:ascii="仿宋" w:hAnsi="仿宋" w:eastAsia="仿宋" w:cs="仿宋"/>
          <w:color w:val="000000"/>
          <w:szCs w:val="24"/>
        </w:rPr>
      </w:pPr>
      <w:r>
        <w:rPr>
          <w:rFonts w:hint="eastAsia" w:ascii="仿宋" w:hAnsi="仿宋" w:eastAsia="仿宋" w:cs="仿宋"/>
          <w:color w:val="000000"/>
          <w:szCs w:val="24"/>
          <w:shd w:val="clear" w:color="auto" w:fill="FFFFFF"/>
        </w:rPr>
        <w:t>8.3未报名及超出报名期限的投标无效。</w:t>
      </w:r>
    </w:p>
    <w:p>
      <w:pPr>
        <w:spacing w:after="0" w:line="440" w:lineRule="exact"/>
        <w:ind w:firstLine="602" w:firstLineChars="250"/>
        <w:jc w:val="both"/>
        <w:rPr>
          <w:rFonts w:ascii="仿宋" w:hAnsi="仿宋" w:eastAsia="仿宋"/>
          <w:b/>
          <w:sz w:val="24"/>
          <w:szCs w:val="24"/>
        </w:rPr>
      </w:pPr>
      <w:r>
        <w:rPr>
          <w:rFonts w:hint="eastAsia" w:ascii="仿宋" w:hAnsi="仿宋" w:eastAsia="仿宋"/>
          <w:b/>
          <w:sz w:val="24"/>
          <w:szCs w:val="24"/>
        </w:rPr>
        <w:t xml:space="preserve">9、投标截止时间、开标时间和地点： </w:t>
      </w:r>
    </w:p>
    <w:p>
      <w:pPr>
        <w:spacing w:after="0" w:line="440" w:lineRule="exact"/>
        <w:jc w:val="both"/>
        <w:rPr>
          <w:rFonts w:ascii="仿宋" w:hAnsi="仿宋" w:eastAsia="仿宋"/>
          <w:sz w:val="24"/>
          <w:szCs w:val="24"/>
        </w:rPr>
      </w:pPr>
      <w:r>
        <w:rPr>
          <w:rFonts w:hint="eastAsia" w:ascii="仿宋" w:hAnsi="仿宋" w:eastAsia="仿宋"/>
          <w:sz w:val="24"/>
          <w:szCs w:val="24"/>
        </w:rPr>
        <w:t xml:space="preserve">     投标截止时间及开标时间：2018年11月16日10时00分；</w:t>
      </w:r>
    </w:p>
    <w:p>
      <w:pPr>
        <w:spacing w:after="0" w:line="440" w:lineRule="exact"/>
        <w:jc w:val="both"/>
        <w:rPr>
          <w:rFonts w:ascii="仿宋" w:hAnsi="仿宋" w:eastAsia="仿宋"/>
          <w:sz w:val="24"/>
          <w:szCs w:val="24"/>
        </w:rPr>
      </w:pPr>
      <w:r>
        <w:rPr>
          <w:rFonts w:hint="eastAsia" w:ascii="仿宋" w:hAnsi="仿宋" w:eastAsia="仿宋"/>
          <w:sz w:val="24"/>
          <w:szCs w:val="24"/>
        </w:rPr>
        <w:t xml:space="preserve">     响应文件递交地点及开标地点：</w:t>
      </w:r>
      <w:r>
        <w:rPr>
          <w:rFonts w:hint="eastAsia" w:ascii="仿宋" w:hAnsi="仿宋" w:eastAsia="仿宋" w:cs="仿宋"/>
          <w:bCs/>
          <w:sz w:val="24"/>
          <w:szCs w:val="24"/>
        </w:rPr>
        <w:t>咸丰三特旅游开发有限公司坪坝营景区工程管理部会议室</w:t>
      </w:r>
      <w:r>
        <w:rPr>
          <w:rFonts w:hint="eastAsia" w:ascii="仿宋" w:hAnsi="仿宋" w:eastAsia="仿宋"/>
          <w:sz w:val="24"/>
          <w:szCs w:val="24"/>
        </w:rPr>
        <w:t>。</w:t>
      </w:r>
    </w:p>
    <w:p>
      <w:pPr>
        <w:spacing w:after="0" w:line="440" w:lineRule="exact"/>
        <w:rPr>
          <w:rFonts w:ascii="仿宋" w:hAnsi="仿宋" w:eastAsia="仿宋"/>
          <w:sz w:val="24"/>
          <w:szCs w:val="24"/>
        </w:rPr>
      </w:pPr>
      <w:r>
        <w:rPr>
          <w:rFonts w:hint="eastAsia" w:ascii="仿宋" w:hAnsi="仿宋" w:eastAsia="仿宋"/>
          <w:sz w:val="24"/>
          <w:szCs w:val="24"/>
        </w:rPr>
        <w:t xml:space="preserve">     10、联系方式： </w:t>
      </w:r>
    </w:p>
    <w:p>
      <w:pPr>
        <w:spacing w:after="0" w:line="440" w:lineRule="exact"/>
        <w:rPr>
          <w:rFonts w:ascii="仿宋" w:hAnsi="仿宋" w:eastAsia="仿宋"/>
          <w:sz w:val="24"/>
          <w:szCs w:val="24"/>
        </w:rPr>
      </w:pPr>
      <w:r>
        <w:rPr>
          <w:rFonts w:hint="eastAsia" w:ascii="仿宋" w:hAnsi="仿宋" w:eastAsia="仿宋"/>
          <w:sz w:val="24"/>
          <w:szCs w:val="24"/>
        </w:rPr>
        <w:t xml:space="preserve">     采购人：咸丰三特旅游开发有限公司 </w:t>
      </w:r>
    </w:p>
    <w:p>
      <w:pPr>
        <w:spacing w:after="0" w:line="440" w:lineRule="exact"/>
        <w:rPr>
          <w:rFonts w:ascii="仿宋" w:hAnsi="仿宋" w:eastAsia="仿宋"/>
          <w:sz w:val="24"/>
          <w:szCs w:val="24"/>
        </w:rPr>
      </w:pPr>
      <w:r>
        <w:rPr>
          <w:rFonts w:hint="eastAsia" w:ascii="仿宋" w:hAnsi="仿宋" w:eastAsia="仿宋"/>
          <w:sz w:val="24"/>
          <w:szCs w:val="24"/>
        </w:rPr>
        <w:t xml:space="preserve">     联系人：范先生    联系电话： 15307265298</w:t>
      </w: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after="0" w:line="400" w:lineRule="exact"/>
        <w:ind w:firstLine="4920" w:firstLineChars="2050"/>
        <w:rPr>
          <w:rFonts w:ascii="仿宋" w:hAnsi="仿宋" w:eastAsia="仿宋"/>
          <w:sz w:val="24"/>
          <w:szCs w:val="24"/>
        </w:rPr>
      </w:pPr>
      <w:r>
        <w:rPr>
          <w:rFonts w:hint="eastAsia" w:ascii="仿宋" w:hAnsi="仿宋" w:eastAsia="仿宋"/>
          <w:sz w:val="24"/>
          <w:szCs w:val="24"/>
        </w:rPr>
        <w:t>咸丰三特旅游开发有限公司</w:t>
      </w:r>
    </w:p>
    <w:p>
      <w:pPr>
        <w:spacing w:after="0" w:line="400" w:lineRule="exact"/>
        <w:ind w:firstLine="5400" w:firstLineChars="2250"/>
        <w:rPr>
          <w:rFonts w:ascii="仿宋" w:hAnsi="仿宋" w:eastAsia="仿宋" w:cs="Times New Roman"/>
          <w:b/>
          <w:bCs/>
          <w:sz w:val="24"/>
          <w:szCs w:val="24"/>
        </w:rPr>
      </w:pPr>
      <w:r>
        <w:rPr>
          <w:rFonts w:ascii="仿宋" w:hAnsi="仿宋" w:eastAsia="仿宋"/>
          <w:sz w:val="24"/>
          <w:szCs w:val="24"/>
        </w:rPr>
        <w:t>2018年11月</w:t>
      </w:r>
      <w:r>
        <w:rPr>
          <w:rFonts w:hint="eastAsia" w:ascii="仿宋" w:hAnsi="仿宋" w:eastAsia="仿宋"/>
          <w:sz w:val="24"/>
          <w:szCs w:val="24"/>
        </w:rPr>
        <w:t>6</w:t>
      </w:r>
      <w:r>
        <w:rPr>
          <w:rFonts w:ascii="仿宋" w:hAnsi="仿宋" w:eastAsia="仿宋"/>
          <w:sz w:val="24"/>
          <w:szCs w:val="24"/>
        </w:rPr>
        <w:t>日</w:t>
      </w:r>
    </w:p>
    <w:p>
      <w:pPr>
        <w:pStyle w:val="2"/>
        <w:spacing w:before="0" w:after="0"/>
        <w:jc w:val="center"/>
        <w:rPr>
          <w:rFonts w:ascii="宋体" w:hAnsi="宋体"/>
          <w:b w:val="0"/>
          <w:bCs w:val="0"/>
          <w:sz w:val="28"/>
          <w:szCs w:val="28"/>
        </w:rPr>
      </w:pPr>
      <w:bookmarkStart w:id="0" w:name="_Toc515952992"/>
      <w:r>
        <w:rPr>
          <w:rFonts w:hint="eastAsia" w:ascii="宋体" w:hAnsi="宋体"/>
          <w:sz w:val="28"/>
          <w:szCs w:val="28"/>
        </w:rPr>
        <w:t>第二章 投标人须知</w:t>
      </w:r>
      <w:bookmarkEnd w:id="0"/>
    </w:p>
    <w:p>
      <w:pPr>
        <w:spacing w:line="500" w:lineRule="exact"/>
        <w:jc w:val="center"/>
        <w:rPr>
          <w:rFonts w:ascii="仿宋" w:hAnsi="仿宋" w:eastAsia="仿宋" w:cs="Times New Roman"/>
          <w:b/>
          <w:bCs/>
          <w:sz w:val="24"/>
          <w:szCs w:val="24"/>
        </w:rPr>
      </w:pPr>
      <w:r>
        <w:rPr>
          <w:rFonts w:hint="eastAsia" w:ascii="仿宋" w:hAnsi="仿宋" w:eastAsia="仿宋" w:cs="Times New Roman"/>
          <w:b/>
          <w:bCs/>
          <w:sz w:val="24"/>
          <w:szCs w:val="24"/>
        </w:rPr>
        <w:t>投标人须知前附表</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12" w:space="0"/>
              <w:lef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项号</w:t>
            </w:r>
          </w:p>
        </w:tc>
        <w:tc>
          <w:tcPr>
            <w:tcW w:w="7813" w:type="dxa"/>
            <w:tcBorders>
              <w:top w:val="single" w:color="auto" w:sz="12" w:space="0"/>
              <w:righ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7813" w:type="dxa"/>
            <w:tcBorders>
              <w:right w:val="single" w:color="auto" w:sz="12" w:space="0"/>
            </w:tcBorders>
          </w:tcPr>
          <w:p>
            <w:pPr>
              <w:spacing w:after="0" w:line="400" w:lineRule="exact"/>
              <w:jc w:val="both"/>
              <w:rPr>
                <w:rFonts w:ascii="仿宋" w:hAnsi="仿宋" w:eastAsia="仿宋" w:cs="Times New Roman"/>
                <w:sz w:val="24"/>
                <w:szCs w:val="24"/>
              </w:rPr>
            </w:pPr>
            <w:r>
              <w:rPr>
                <w:rFonts w:hint="eastAsia" w:ascii="仿宋" w:hAnsi="仿宋" w:eastAsia="仿宋" w:cs="Times New Roman"/>
                <w:b/>
                <w:sz w:val="24"/>
                <w:szCs w:val="24"/>
              </w:rPr>
              <w:t>工程名称：</w:t>
            </w:r>
            <w:r>
              <w:rPr>
                <w:rFonts w:hint="eastAsia" w:ascii="仿宋" w:hAnsi="仿宋" w:eastAsia="仿宋" w:cs="仿宋"/>
                <w:color w:val="000000"/>
                <w:sz w:val="24"/>
                <w:szCs w:val="24"/>
                <w:shd w:val="clear" w:color="auto" w:fill="FFFFFF"/>
              </w:rPr>
              <w:t>坪坝营四洞峡景区危岩防治工程勘察及设计项目</w:t>
            </w:r>
          </w:p>
          <w:p>
            <w:pPr>
              <w:spacing w:after="0" w:line="400" w:lineRule="exact"/>
              <w:jc w:val="both"/>
              <w:rPr>
                <w:rFonts w:ascii="仿宋" w:hAnsi="仿宋" w:eastAsia="仿宋" w:cs="仿宋"/>
                <w:color w:val="000000"/>
                <w:szCs w:val="24"/>
                <w:shd w:val="clear" w:color="auto" w:fill="FFFFFF"/>
              </w:rPr>
            </w:pPr>
            <w:r>
              <w:rPr>
                <w:rFonts w:hint="eastAsia" w:ascii="仿宋" w:hAnsi="仿宋" w:eastAsia="仿宋" w:cs="Times New Roman"/>
                <w:b/>
                <w:sz w:val="24"/>
                <w:szCs w:val="24"/>
              </w:rPr>
              <w:t>建设地点：</w:t>
            </w:r>
            <w:r>
              <w:rPr>
                <w:rFonts w:hint="eastAsia" w:ascii="仿宋" w:hAnsi="仿宋" w:eastAsia="仿宋" w:cs="仿宋"/>
                <w:color w:val="000000"/>
                <w:szCs w:val="24"/>
                <w:shd w:val="clear" w:color="auto" w:fill="FFFFFF"/>
              </w:rPr>
              <w:t>咸丰县坪坝营景区</w:t>
            </w:r>
          </w:p>
          <w:p>
            <w:pPr>
              <w:spacing w:after="0" w:line="400" w:lineRule="exact"/>
              <w:jc w:val="both"/>
              <w:rPr>
                <w:rFonts w:ascii="仿宋" w:hAnsi="仿宋" w:eastAsia="仿宋" w:cs="Times New Roman"/>
                <w:sz w:val="24"/>
                <w:szCs w:val="24"/>
              </w:rPr>
            </w:pPr>
            <w:r>
              <w:rPr>
                <w:rFonts w:hint="eastAsia" w:ascii="仿宋" w:hAnsi="仿宋" w:eastAsia="仿宋" w:cs="Times New Roman"/>
                <w:b/>
                <w:sz w:val="24"/>
                <w:szCs w:val="24"/>
              </w:rPr>
              <w:t>建设规模：</w:t>
            </w:r>
            <w:r>
              <w:rPr>
                <w:rFonts w:hint="eastAsia" w:ascii="仿宋" w:hAnsi="仿宋" w:eastAsia="仿宋" w:cs="Times New Roman"/>
                <w:sz w:val="24"/>
                <w:szCs w:val="24"/>
              </w:rPr>
              <w:t>/</w:t>
            </w:r>
          </w:p>
          <w:p>
            <w:pPr>
              <w:spacing w:after="0" w:line="400" w:lineRule="exact"/>
              <w:jc w:val="both"/>
              <w:rPr>
                <w:rFonts w:ascii="仿宋" w:hAnsi="仿宋" w:eastAsia="仿宋" w:cs="Times New Roman"/>
                <w:color w:val="FF0000"/>
                <w:sz w:val="24"/>
                <w:szCs w:val="24"/>
              </w:rPr>
            </w:pPr>
            <w:r>
              <w:rPr>
                <w:rFonts w:hint="eastAsia" w:ascii="仿宋" w:hAnsi="仿宋" w:eastAsia="仿宋" w:cs="Times New Roman"/>
                <w:b/>
                <w:sz w:val="24"/>
                <w:szCs w:val="24"/>
              </w:rPr>
              <w:t>合同形式：</w:t>
            </w:r>
            <w:r>
              <w:rPr>
                <w:rFonts w:hint="eastAsia" w:ascii="仿宋" w:hAnsi="仿宋" w:eastAsia="仿宋" w:cs="Times New Roman"/>
                <w:sz w:val="24"/>
                <w:szCs w:val="24"/>
              </w:rPr>
              <w:t xml:space="preserve">固定总价合同       </w:t>
            </w:r>
            <w:r>
              <w:rPr>
                <w:rFonts w:hint="eastAsia" w:ascii="仿宋" w:hAnsi="仿宋" w:eastAsia="仿宋" w:cs="Times New Roman"/>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7813" w:type="dxa"/>
            <w:tcBorders>
              <w:right w:val="single" w:color="auto" w:sz="12" w:space="0"/>
            </w:tcBorders>
            <w:vAlign w:val="bottom"/>
          </w:tcPr>
          <w:p>
            <w:pPr>
              <w:rPr>
                <w:rFonts w:ascii="仿宋" w:hAnsi="仿宋" w:eastAsia="仿宋" w:cs="Times New Roman"/>
                <w:sz w:val="24"/>
                <w:szCs w:val="24"/>
              </w:rPr>
            </w:pPr>
            <w:r>
              <w:rPr>
                <w:rFonts w:hint="eastAsia" w:ascii="仿宋" w:hAnsi="仿宋" w:eastAsia="仿宋" w:cs="Times New Roman"/>
                <w:b/>
                <w:sz w:val="24"/>
                <w:szCs w:val="24"/>
              </w:rPr>
              <w:t>招标人：</w:t>
            </w:r>
            <w:r>
              <w:rPr>
                <w:rFonts w:hint="eastAsia" w:ascii="仿宋" w:hAnsi="仿宋" w:eastAsia="仿宋" w:cs="仿宋"/>
                <w:sz w:val="24"/>
                <w:szCs w:val="24"/>
              </w:rPr>
              <w:t>咸丰三特旅游开发有限公司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7813" w:type="dxa"/>
            <w:tcBorders>
              <w:right w:val="single" w:color="auto" w:sz="12" w:space="0"/>
            </w:tcBorders>
            <w:vAlign w:val="center"/>
          </w:tcPr>
          <w:p>
            <w:pPr>
              <w:spacing w:after="0" w:line="400" w:lineRule="exact"/>
              <w:jc w:val="both"/>
              <w:rPr>
                <w:rFonts w:ascii="仿宋" w:hAnsi="仿宋" w:eastAsia="仿宋" w:cs="Times New Roman"/>
                <w:sz w:val="24"/>
                <w:szCs w:val="24"/>
              </w:rPr>
            </w:pPr>
            <w:r>
              <w:rPr>
                <w:rFonts w:hint="eastAsia" w:ascii="仿宋" w:hAnsi="仿宋" w:eastAsia="仿宋" w:cs="Times New Roman"/>
                <w:b/>
                <w:sz w:val="24"/>
                <w:szCs w:val="24"/>
              </w:rPr>
              <w:t>工程质量要求：</w:t>
            </w:r>
            <w:r>
              <w:rPr>
                <w:rFonts w:hint="eastAsia" w:ascii="仿宋" w:hAnsi="仿宋" w:eastAsia="仿宋" w:cs="Times New Roman"/>
                <w:sz w:val="24"/>
                <w:szCs w:val="24"/>
              </w:rPr>
              <w:t>按照国家相关规范要求，保证一次性通过图纸审查。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4</w:t>
            </w:r>
          </w:p>
        </w:tc>
        <w:tc>
          <w:tcPr>
            <w:tcW w:w="7813" w:type="dxa"/>
            <w:tcBorders>
              <w:right w:val="single" w:color="auto" w:sz="12" w:space="0"/>
            </w:tcBorders>
            <w:vAlign w:val="center"/>
          </w:tcPr>
          <w:p>
            <w:pPr>
              <w:spacing w:after="0" w:line="360" w:lineRule="auto"/>
              <w:jc w:val="both"/>
              <w:rPr>
                <w:rFonts w:ascii="仿宋" w:hAnsi="仿宋" w:eastAsia="仿宋" w:cs="Times New Roman"/>
                <w:sz w:val="24"/>
                <w:szCs w:val="24"/>
              </w:rPr>
            </w:pPr>
            <w:r>
              <w:rPr>
                <w:rFonts w:hint="eastAsia" w:ascii="仿宋" w:hAnsi="仿宋" w:eastAsia="仿宋" w:cs="Times New Roman"/>
                <w:b/>
                <w:sz w:val="24"/>
                <w:szCs w:val="24"/>
              </w:rPr>
              <w:t>设计工期：</w:t>
            </w:r>
            <w:r>
              <w:rPr>
                <w:rFonts w:hint="eastAsia" w:ascii="仿宋" w:hAnsi="仿宋" w:eastAsia="仿宋" w:cs="Times New Roman"/>
                <w:sz w:val="24"/>
                <w:szCs w:val="24"/>
                <w:u w:val="single"/>
              </w:rPr>
              <w:t xml:space="preserve">45 </w:t>
            </w:r>
            <w:r>
              <w:rPr>
                <w:rFonts w:hint="eastAsia" w:ascii="仿宋" w:hAnsi="仿宋" w:eastAsia="仿宋" w:cs="Times New Roman"/>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5</w:t>
            </w:r>
          </w:p>
        </w:tc>
        <w:tc>
          <w:tcPr>
            <w:tcW w:w="7813" w:type="dxa"/>
            <w:tcBorders>
              <w:right w:val="single" w:color="auto" w:sz="12" w:space="0"/>
            </w:tcBorders>
          </w:tcPr>
          <w:p>
            <w:pPr>
              <w:spacing w:after="0" w:line="400" w:lineRule="exact"/>
              <w:rPr>
                <w:rFonts w:ascii="仿宋" w:hAnsi="仿宋" w:eastAsia="仿宋" w:cs="Times New Roman"/>
                <w:sz w:val="24"/>
                <w:szCs w:val="24"/>
              </w:rPr>
            </w:pPr>
            <w:r>
              <w:rPr>
                <w:rFonts w:hint="eastAsia" w:ascii="仿宋" w:hAnsi="仿宋" w:eastAsia="仿宋" w:cs="Times New Roman"/>
                <w:b/>
                <w:sz w:val="24"/>
                <w:szCs w:val="24"/>
              </w:rPr>
              <w:t>投标人资格条件：</w:t>
            </w:r>
            <w:r>
              <w:rPr>
                <w:rFonts w:hint="eastAsia" w:ascii="仿宋" w:hAnsi="仿宋" w:eastAsia="仿宋" w:cs="Times New Roman"/>
                <w:sz w:val="24"/>
                <w:szCs w:val="24"/>
              </w:rPr>
              <w:t>详见磋商公告第7条。其中：“</w:t>
            </w:r>
            <w:r>
              <w:rPr>
                <w:rFonts w:hint="eastAsia" w:ascii="仿宋" w:hAnsi="仿宋" w:eastAsia="仿宋"/>
                <w:sz w:val="24"/>
                <w:szCs w:val="24"/>
              </w:rPr>
              <w:t>近三年独立承担过的地质灾害治理勘察及设计工程项目</w:t>
            </w:r>
            <w:r>
              <w:rPr>
                <w:rFonts w:hint="eastAsia" w:ascii="仿宋" w:hAnsi="仿宋" w:eastAsia="仿宋" w:cs="Times New Roman"/>
                <w:sz w:val="24"/>
                <w:szCs w:val="24"/>
              </w:rPr>
              <w:t>”，要求在开标会上提供合同原件，并在响应文件“商务文件”“证明投标人合格的资格文件”中提供合同复印件，不符合上述要求的，将视为资格审查不合格。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6</w:t>
            </w:r>
          </w:p>
        </w:tc>
        <w:tc>
          <w:tcPr>
            <w:tcW w:w="7813" w:type="dxa"/>
            <w:tcBorders>
              <w:right w:val="single" w:color="auto" w:sz="12" w:space="0"/>
            </w:tcBorders>
          </w:tcPr>
          <w:p>
            <w:pPr>
              <w:spacing w:after="0" w:line="400" w:lineRule="exact"/>
              <w:rPr>
                <w:rFonts w:ascii="仿宋" w:hAnsi="仿宋" w:eastAsia="仿宋" w:cs="Times New Roman"/>
                <w:b/>
                <w:sz w:val="24"/>
                <w:szCs w:val="24"/>
              </w:rPr>
            </w:pPr>
            <w:r>
              <w:rPr>
                <w:rFonts w:hint="eastAsia" w:ascii="仿宋" w:hAnsi="仿宋" w:eastAsia="仿宋" w:cs="Times New Roman"/>
                <w:b/>
                <w:sz w:val="24"/>
                <w:szCs w:val="24"/>
              </w:rPr>
              <w:t>投标报价及费用：</w:t>
            </w:r>
          </w:p>
          <w:p>
            <w:pPr>
              <w:spacing w:after="0" w:line="400" w:lineRule="exact"/>
              <w:rPr>
                <w:rFonts w:ascii="仿宋" w:hAnsi="仿宋" w:eastAsia="仿宋" w:cs="Times New Roman"/>
                <w:sz w:val="24"/>
                <w:szCs w:val="24"/>
              </w:rPr>
            </w:pPr>
            <w:r>
              <w:rPr>
                <w:rFonts w:hint="eastAsia" w:ascii="仿宋" w:hAnsi="仿宋" w:eastAsia="仿宋" w:cs="Times New Roman"/>
                <w:sz w:val="24"/>
                <w:szCs w:val="24"/>
              </w:rPr>
              <w:t>（1）本项目投标以人民币报价。</w:t>
            </w:r>
          </w:p>
          <w:p>
            <w:pPr>
              <w:spacing w:after="0" w:line="400" w:lineRule="exact"/>
              <w:rPr>
                <w:rFonts w:ascii="仿宋" w:hAnsi="仿宋" w:eastAsia="仿宋" w:cs="Times New Roman"/>
                <w:sz w:val="24"/>
                <w:szCs w:val="24"/>
              </w:rPr>
            </w:pPr>
            <w:r>
              <w:rPr>
                <w:rFonts w:hint="eastAsia" w:ascii="仿宋" w:hAnsi="仿宋" w:eastAsia="仿宋" w:cs="Times New Roman"/>
                <w:sz w:val="24"/>
                <w:szCs w:val="24"/>
              </w:rPr>
              <w:t>（2）不论投标结果如何，投标人均应自行承担所有与投标有关的全部费用。</w:t>
            </w:r>
          </w:p>
          <w:p>
            <w:pPr>
              <w:spacing w:after="0" w:line="400" w:lineRule="exact"/>
              <w:rPr>
                <w:rFonts w:ascii="仿宋" w:hAnsi="仿宋" w:eastAsia="仿宋" w:cs="Times New Roman"/>
                <w:sz w:val="24"/>
                <w:szCs w:val="24"/>
              </w:rPr>
            </w:pPr>
            <w:r>
              <w:rPr>
                <w:rFonts w:hint="eastAsia" w:ascii="仿宋" w:hAnsi="仿宋" w:eastAsia="仿宋" w:cs="Times New Roman"/>
                <w:sz w:val="24"/>
                <w:szCs w:val="24"/>
              </w:rPr>
              <w:t>（3）投标人应结合项目现场实际情况，充分考虑项目的危险性，投标人的报价，应包含了勘察设计费用、税金、安全费用及保险费等。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7</w:t>
            </w:r>
          </w:p>
        </w:tc>
        <w:tc>
          <w:tcPr>
            <w:tcW w:w="7813"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b/>
                <w:sz w:val="24"/>
                <w:szCs w:val="24"/>
              </w:rPr>
              <w:t>投标限价（最高限价）：</w:t>
            </w:r>
            <w:r>
              <w:rPr>
                <w:rFonts w:hint="eastAsia" w:ascii="仿宋" w:hAnsi="仿宋" w:eastAsia="仿宋"/>
                <w:sz w:val="24"/>
                <w:szCs w:val="24"/>
              </w:rPr>
              <w:t>柒拾万元整（￥70.00万元）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8</w:t>
            </w:r>
          </w:p>
        </w:tc>
        <w:tc>
          <w:tcPr>
            <w:tcW w:w="7813"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现场踏勘：</w:t>
            </w:r>
            <w:r>
              <w:rPr>
                <w:rFonts w:hint="eastAsia" w:ascii="仿宋" w:hAnsi="仿宋" w:eastAsia="仿宋" w:cs="Times New Roman"/>
                <w:sz w:val="24"/>
                <w:szCs w:val="24"/>
              </w:rPr>
              <w:t>采购人向投标人提供的有关图纸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9</w:t>
            </w:r>
          </w:p>
        </w:tc>
        <w:tc>
          <w:tcPr>
            <w:tcW w:w="7813"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投标人提出疑问的截止时间：</w:t>
            </w:r>
            <w:r>
              <w:rPr>
                <w:rFonts w:hint="eastAsia" w:ascii="仿宋" w:hAnsi="仿宋" w:eastAsia="仿宋" w:cs="Times New Roman"/>
                <w:sz w:val="24"/>
                <w:szCs w:val="24"/>
              </w:rPr>
              <w:t>2018年11月11日。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10</w:t>
            </w:r>
          </w:p>
        </w:tc>
        <w:tc>
          <w:tcPr>
            <w:tcW w:w="7813"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磋商文件的补充、修改、澄清的截止时间：</w:t>
            </w:r>
            <w:r>
              <w:rPr>
                <w:rFonts w:hint="eastAsia" w:ascii="仿宋" w:hAnsi="仿宋" w:eastAsia="仿宋" w:cs="Times New Roman"/>
                <w:sz w:val="24"/>
                <w:szCs w:val="24"/>
              </w:rPr>
              <w:t>2018年11月12日。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11</w:t>
            </w:r>
          </w:p>
        </w:tc>
        <w:tc>
          <w:tcPr>
            <w:tcW w:w="7813"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响应文件组成：</w:t>
            </w:r>
            <w:r>
              <w:rPr>
                <w:rFonts w:hint="eastAsia" w:ascii="仿宋" w:hAnsi="仿宋" w:eastAsia="仿宋" w:cs="Times New Roman"/>
                <w:sz w:val="24"/>
                <w:szCs w:val="24"/>
              </w:rPr>
              <w:t>响应文件由商务文件、技术文件和报价文件组成（装订成一册）。响应文件一式伍份（正本壹份，副本肆份）。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12</w:t>
            </w:r>
          </w:p>
        </w:tc>
        <w:tc>
          <w:tcPr>
            <w:tcW w:w="7813"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sz w:val="24"/>
                <w:szCs w:val="24"/>
              </w:rPr>
              <w:t>投标有效期：投标截止日起60日。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13</w:t>
            </w:r>
          </w:p>
        </w:tc>
        <w:tc>
          <w:tcPr>
            <w:tcW w:w="7813"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b/>
                <w:sz w:val="24"/>
                <w:szCs w:val="24"/>
              </w:rPr>
              <w:t>投标截止时间及开标时间</w:t>
            </w:r>
            <w:r>
              <w:rPr>
                <w:rFonts w:hint="eastAsia" w:ascii="仿宋" w:hAnsi="仿宋" w:eastAsia="仿宋" w:cs="Times New Roman"/>
                <w:b/>
                <w:bCs/>
                <w:sz w:val="24"/>
                <w:szCs w:val="24"/>
              </w:rPr>
              <w:t>：</w:t>
            </w:r>
            <w:r>
              <w:rPr>
                <w:rFonts w:hint="eastAsia" w:ascii="仿宋" w:hAnsi="仿宋" w:eastAsia="仿宋"/>
                <w:b/>
                <w:sz w:val="24"/>
                <w:szCs w:val="24"/>
              </w:rPr>
              <w:t>2018年11月16日10时00分</w:t>
            </w:r>
            <w:r>
              <w:rPr>
                <w:rFonts w:hint="eastAsia" w:ascii="仿宋" w:hAnsi="仿宋" w:eastAsia="仿宋" w:cs="Times New Roman"/>
                <w:sz w:val="24"/>
                <w:szCs w:val="24"/>
              </w:rPr>
              <w:t>。</w:t>
            </w:r>
          </w:p>
          <w:p>
            <w:pPr>
              <w:spacing w:after="0" w:line="360" w:lineRule="auto"/>
              <w:rPr>
                <w:rFonts w:ascii="仿宋" w:hAnsi="仿宋" w:eastAsia="仿宋" w:cs="Times New Roman"/>
                <w:sz w:val="24"/>
                <w:szCs w:val="24"/>
              </w:rPr>
            </w:pPr>
            <w:r>
              <w:rPr>
                <w:rFonts w:hint="eastAsia" w:ascii="仿宋" w:hAnsi="仿宋" w:eastAsia="仿宋" w:cs="Times New Roman"/>
                <w:b/>
                <w:bCs/>
                <w:sz w:val="24"/>
                <w:szCs w:val="24"/>
              </w:rPr>
              <w:t>响应文件递交地点：</w:t>
            </w:r>
            <w:r>
              <w:rPr>
                <w:rFonts w:hint="eastAsia" w:ascii="仿宋" w:hAnsi="仿宋" w:eastAsia="仿宋" w:cs="仿宋"/>
                <w:b/>
                <w:bCs/>
                <w:sz w:val="24"/>
                <w:szCs w:val="24"/>
              </w:rPr>
              <w:t>咸丰三特旅游开发有限公司工程管理部会议室</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14</w:t>
            </w:r>
          </w:p>
        </w:tc>
        <w:tc>
          <w:tcPr>
            <w:tcW w:w="7813"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响应文件递交截止时间：</w:t>
            </w:r>
            <w:r>
              <w:rPr>
                <w:rFonts w:hint="eastAsia" w:ascii="仿宋" w:hAnsi="仿宋" w:eastAsia="仿宋"/>
                <w:sz w:val="24"/>
                <w:szCs w:val="24"/>
              </w:rPr>
              <w:t>2018年11月16日10时00分</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16</w:t>
            </w:r>
          </w:p>
        </w:tc>
        <w:tc>
          <w:tcPr>
            <w:tcW w:w="7813"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sz w:val="24"/>
                <w:szCs w:val="24"/>
              </w:rPr>
              <w:t>原件携带要求：</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w:t>
            </w:r>
            <w:r>
              <w:rPr>
                <w:rFonts w:hint="eastAsia" w:ascii="仿宋" w:hAnsi="仿宋" w:eastAsia="仿宋" w:cs="Times New Roman"/>
                <w:sz w:val="24"/>
                <w:szCs w:val="24"/>
              </w:rPr>
              <w:t>投标人应在开标会现场提交下列资格证明材料：</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1.1</w:t>
            </w:r>
            <w:r>
              <w:rPr>
                <w:rFonts w:hint="eastAsia" w:ascii="仿宋" w:hAnsi="仿宋" w:eastAsia="仿宋" w:cs="Times New Roman"/>
                <w:sz w:val="24"/>
                <w:szCs w:val="24"/>
              </w:rPr>
              <w:t>有效的企业法人营业执照副本或事业单位法人证书副本，均为原件；</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1.2</w:t>
            </w:r>
            <w:r>
              <w:rPr>
                <w:rFonts w:hint="eastAsia" w:ascii="仿宋" w:hAnsi="仿宋" w:eastAsia="仿宋"/>
                <w:sz w:val="24"/>
                <w:szCs w:val="24"/>
              </w:rPr>
              <w:t>同时具有中华人民共和国国土资源部颁发的地质灾害防治勘察乙级及以上资质和地质灾害防治设计乙级及以上资质</w:t>
            </w:r>
            <w:r>
              <w:rPr>
                <w:rFonts w:hint="eastAsia" w:ascii="仿宋" w:hAnsi="仿宋" w:eastAsia="仿宋" w:cs="Times New Roman"/>
                <w:sz w:val="24"/>
                <w:szCs w:val="24"/>
              </w:rPr>
              <w:t>，均为原件；</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 xml:space="preserve">1.3 </w:t>
            </w:r>
            <w:r>
              <w:rPr>
                <w:rFonts w:hint="eastAsia" w:ascii="仿宋" w:hAnsi="仿宋" w:eastAsia="仿宋" w:cs="Times New Roman"/>
                <w:sz w:val="24"/>
                <w:szCs w:val="24"/>
              </w:rPr>
              <w:t>投标人资格条件中要求的类似业绩：</w:t>
            </w:r>
            <w:r>
              <w:rPr>
                <w:rFonts w:hint="eastAsia" w:ascii="仿宋" w:hAnsi="仿宋" w:eastAsia="仿宋"/>
                <w:sz w:val="24"/>
                <w:szCs w:val="24"/>
              </w:rPr>
              <w:t>近三年独立承担过的勘察、设计项目</w:t>
            </w:r>
            <w:r>
              <w:rPr>
                <w:rFonts w:hint="eastAsia" w:ascii="仿宋" w:hAnsi="仿宋" w:eastAsia="仿宋" w:cs="Times New Roman"/>
                <w:sz w:val="24"/>
                <w:szCs w:val="24"/>
              </w:rPr>
              <w:t>的合同书原件；</w:t>
            </w:r>
          </w:p>
          <w:p>
            <w:pPr>
              <w:spacing w:after="0" w:line="360" w:lineRule="auto"/>
              <w:ind w:firstLine="468"/>
              <w:rPr>
                <w:rFonts w:ascii="仿宋" w:hAnsi="仿宋" w:eastAsia="仿宋" w:cs="Times New Roman"/>
                <w:sz w:val="24"/>
                <w:szCs w:val="24"/>
              </w:rPr>
            </w:pPr>
            <w:r>
              <w:rPr>
                <w:rFonts w:ascii="仿宋" w:hAnsi="仿宋" w:eastAsia="仿宋" w:cs="Times New Roman"/>
                <w:sz w:val="24"/>
                <w:szCs w:val="24"/>
              </w:rPr>
              <w:t>1.4</w:t>
            </w:r>
            <w:r>
              <w:rPr>
                <w:rFonts w:hint="eastAsia" w:ascii="仿宋" w:hAnsi="仿宋" w:eastAsia="仿宋"/>
                <w:sz w:val="24"/>
                <w:szCs w:val="24"/>
              </w:rPr>
              <w:t>项目负责人地质勘察高级工程师资格证书或注册岩土工程师证书原件；</w:t>
            </w:r>
          </w:p>
          <w:p>
            <w:pPr>
              <w:spacing w:after="0" w:line="360" w:lineRule="auto"/>
              <w:ind w:firstLine="468"/>
              <w:rPr>
                <w:rFonts w:ascii="仿宋" w:hAnsi="仿宋" w:eastAsia="仿宋"/>
                <w:sz w:val="24"/>
                <w:szCs w:val="24"/>
              </w:rPr>
            </w:pPr>
            <w:r>
              <w:rPr>
                <w:rFonts w:hint="eastAsia" w:ascii="仿宋" w:hAnsi="仿宋" w:eastAsia="仿宋" w:cs="Times New Roman"/>
                <w:sz w:val="24"/>
                <w:szCs w:val="24"/>
              </w:rPr>
              <w:t>1.5</w:t>
            </w:r>
            <w:r>
              <w:rPr>
                <w:rFonts w:hint="eastAsia" w:ascii="仿宋" w:hAnsi="仿宋" w:eastAsia="仿宋"/>
                <w:sz w:val="24"/>
                <w:szCs w:val="24"/>
              </w:rPr>
              <w:t>《中国裁判文书网查询记录截图》；</w:t>
            </w:r>
          </w:p>
          <w:p>
            <w:pPr>
              <w:spacing w:after="0" w:line="360" w:lineRule="auto"/>
              <w:ind w:firstLine="468"/>
              <w:rPr>
                <w:rFonts w:ascii="仿宋" w:hAnsi="仿宋" w:eastAsia="仿宋"/>
                <w:kern w:val="10"/>
                <w:sz w:val="24"/>
                <w:szCs w:val="24"/>
              </w:rPr>
            </w:pPr>
            <w:r>
              <w:rPr>
                <w:rFonts w:hint="eastAsia" w:ascii="仿宋" w:hAnsi="仿宋" w:eastAsia="仿宋" w:cs="Times New Roman"/>
                <w:sz w:val="24"/>
                <w:szCs w:val="24"/>
              </w:rPr>
              <w:t>1.6</w:t>
            </w:r>
            <w:r>
              <w:rPr>
                <w:rFonts w:hint="eastAsia" w:ascii="仿宋" w:hAnsi="仿宋" w:eastAsia="仿宋"/>
                <w:kern w:val="10"/>
                <w:sz w:val="24"/>
                <w:szCs w:val="24"/>
              </w:rPr>
              <w:t>投标人在参加投标活动前三年内，在经营活动中没有重大违法记录（提供书面声明）；没有不良行为记录（提供全国建筑市场监管公共服务平台查询记录截图）；</w:t>
            </w:r>
          </w:p>
          <w:p>
            <w:pPr>
              <w:spacing w:after="0" w:line="360" w:lineRule="auto"/>
              <w:ind w:firstLine="468"/>
              <w:rPr>
                <w:rFonts w:ascii="仿宋" w:hAnsi="仿宋" w:eastAsia="仿宋" w:cs="Times New Roman"/>
                <w:sz w:val="24"/>
                <w:szCs w:val="24"/>
              </w:rPr>
            </w:pPr>
            <w:r>
              <w:rPr>
                <w:rFonts w:hint="eastAsia" w:ascii="仿宋" w:hAnsi="仿宋" w:eastAsia="仿宋"/>
                <w:kern w:val="10"/>
                <w:sz w:val="24"/>
                <w:szCs w:val="24"/>
              </w:rPr>
              <w:t>1.7不拖欠农民工工资承诺书；</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w:t>
            </w:r>
            <w:r>
              <w:rPr>
                <w:rFonts w:hint="eastAsia" w:ascii="仿宋" w:hAnsi="仿宋" w:eastAsia="仿宋" w:cs="Times New Roman"/>
                <w:sz w:val="24"/>
                <w:szCs w:val="24"/>
              </w:rPr>
              <w:t>8法定代表人授权委托书（法定代表人授权他人参加开标会的情形须提供）、法定代表人或其委托代理人的身份证件，均为原件；</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w:t>
            </w:r>
            <w:r>
              <w:rPr>
                <w:rFonts w:hint="eastAsia" w:ascii="仿宋" w:hAnsi="仿宋" w:eastAsia="仿宋" w:cs="Times New Roman"/>
                <w:sz w:val="24"/>
                <w:szCs w:val="24"/>
              </w:rPr>
              <w:t>）公证机关的公证书原件（应当提供证件的主要信息）；</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（2）证件原件办理年审、换证、遗失或其他客观情形不能携带至现场的，提供发证机关的证明材料原件，证明材料中应当注明证件的主要信息。</w:t>
            </w:r>
          </w:p>
          <w:p>
            <w:pPr>
              <w:spacing w:after="0" w:line="360" w:lineRule="auto"/>
              <w:ind w:firstLine="480" w:firstLineChars="200"/>
              <w:rPr>
                <w:rFonts w:ascii="仿宋" w:hAnsi="仿宋" w:eastAsia="仿宋" w:cs="Times New Roman"/>
                <w:sz w:val="24"/>
                <w:szCs w:val="24"/>
              </w:rPr>
            </w:pPr>
            <w:r>
              <w:rPr>
                <w:rFonts w:ascii="仿宋" w:hAnsi="仿宋" w:eastAsia="仿宋" w:cs="Times New Roman"/>
                <w:sz w:val="24"/>
                <w:szCs w:val="24"/>
              </w:rPr>
              <w:t xml:space="preserve">2. </w:t>
            </w:r>
            <w:r>
              <w:rPr>
                <w:rFonts w:hint="eastAsia" w:ascii="仿宋" w:hAnsi="仿宋" w:eastAsia="仿宋" w:cs="Times New Roman"/>
                <w:sz w:val="24"/>
                <w:szCs w:val="24"/>
              </w:rPr>
              <w:t>上述第</w:t>
            </w:r>
            <w:r>
              <w:rPr>
                <w:rFonts w:ascii="仿宋" w:hAnsi="仿宋" w:eastAsia="仿宋" w:cs="Times New Roman"/>
                <w:sz w:val="24"/>
                <w:szCs w:val="24"/>
              </w:rPr>
              <w:t>1</w:t>
            </w:r>
            <w:r>
              <w:rPr>
                <w:rFonts w:hint="eastAsia" w:ascii="仿宋" w:hAnsi="仿宋" w:eastAsia="仿宋" w:cs="Times New Roman"/>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代理人存档，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17</w:t>
            </w:r>
          </w:p>
        </w:tc>
        <w:tc>
          <w:tcPr>
            <w:tcW w:w="7813"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sz w:val="24"/>
                <w:szCs w:val="24"/>
              </w:rPr>
              <w:t>评标办法：综合评分法</w:t>
            </w:r>
          </w:p>
        </w:tc>
      </w:tr>
    </w:tbl>
    <w:p>
      <w:pPr>
        <w:spacing w:line="220" w:lineRule="atLeast"/>
        <w:rPr>
          <w:rFonts w:ascii="仿宋" w:hAnsi="仿宋" w:eastAsia="仿宋"/>
          <w:sz w:val="24"/>
          <w:szCs w:val="24"/>
        </w:rPr>
      </w:pP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1.总  则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1.1适用范围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本磋商文件仅适用于本次采购项目的招标、投标、评标、定标、验收、合同履约、付款等行为（法律、法规另有规定的，从其规定）。 </w:t>
      </w:r>
    </w:p>
    <w:p>
      <w:pPr>
        <w:spacing w:after="0" w:line="360" w:lineRule="auto"/>
        <w:ind w:firstLine="482" w:firstLineChars="200"/>
        <w:jc w:val="both"/>
        <w:rPr>
          <w:rFonts w:ascii="仿宋" w:hAnsi="仿宋" w:eastAsia="仿宋"/>
          <w:b/>
          <w:sz w:val="24"/>
          <w:szCs w:val="24"/>
        </w:rPr>
      </w:pPr>
      <w:r>
        <w:rPr>
          <w:rFonts w:hint="eastAsia" w:ascii="仿宋" w:hAnsi="仿宋" w:eastAsia="仿宋"/>
          <w:b/>
          <w:sz w:val="24"/>
          <w:szCs w:val="24"/>
        </w:rPr>
        <w:t xml:space="preserve">1.2定义 </w:t>
      </w:r>
    </w:p>
    <w:p>
      <w:pPr>
        <w:spacing w:after="0" w:line="360" w:lineRule="auto"/>
        <w:ind w:firstLine="480" w:firstLineChars="200"/>
        <w:jc w:val="both"/>
        <w:rPr>
          <w:rFonts w:ascii="仿宋" w:hAnsi="仿宋" w:eastAsia="仿宋"/>
          <w:sz w:val="24"/>
          <w:szCs w:val="24"/>
        </w:rPr>
      </w:pPr>
      <w:r>
        <w:rPr>
          <w:rFonts w:hint="eastAsia" w:ascii="仿宋" w:hAnsi="仿宋" w:eastAsia="仿宋"/>
          <w:sz w:val="24"/>
          <w:szCs w:val="24"/>
        </w:rPr>
        <w:t>1.2.1“采购人”是指采购单位</w:t>
      </w:r>
      <w:r>
        <w:rPr>
          <w:rFonts w:hint="eastAsia" w:ascii="仿宋" w:hAnsi="仿宋" w:eastAsia="仿宋"/>
          <w:sz w:val="24"/>
          <w:szCs w:val="24"/>
          <w:u w:val="single"/>
        </w:rPr>
        <w:t xml:space="preserve"> </w:t>
      </w:r>
      <w:r>
        <w:rPr>
          <w:rFonts w:hint="eastAsia" w:ascii="仿宋" w:hAnsi="仿宋" w:eastAsia="仿宋" w:cs="仿宋"/>
          <w:color w:val="000000"/>
          <w:sz w:val="24"/>
          <w:szCs w:val="28"/>
          <w:u w:val="single"/>
          <w:shd w:val="clear" w:color="auto" w:fill="FFFFFF"/>
        </w:rPr>
        <w:t>咸丰三特旅游开发有限公司</w:t>
      </w:r>
      <w:r>
        <w:rPr>
          <w:rFonts w:hint="eastAsia" w:ascii="仿宋" w:hAnsi="仿宋" w:eastAsia="仿宋" w:cs="仿宋"/>
          <w:color w:val="000000"/>
          <w:szCs w:val="24"/>
          <w:u w:val="single"/>
          <w:shd w:val="clear" w:color="auto" w:fill="FFFFFF"/>
        </w:rPr>
        <w:t xml:space="preserve"> </w:t>
      </w:r>
      <w:r>
        <w:rPr>
          <w:rFonts w:hint="eastAsia" w:ascii="仿宋" w:hAnsi="仿宋" w:eastAsia="仿宋" w:cs="仿宋"/>
          <w:color w:val="000000"/>
          <w:szCs w:val="24"/>
          <w:shd w:val="clear" w:color="auto" w:fill="FFFFFF"/>
        </w:rPr>
        <w:t>。</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1.2.2“供应商”是指对本次磋商采购项目表现出兴趣，并有可能实际参与该项目投标的法人。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1.2.3“投标人”是指按照一定的程序，从采购人获取了招标文件，并向采购人提交投标文件的供应商。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1.2.4“招标采购单位”是指采购人。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1.2.5 “服务”是指磋商文件规定中标方须承担的勘察设计工作及相应的配合服务工作。具体详见磋商文件第三章。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1.2.6“项目”是指中标人按磋商文件规定向采购人提供相关服务。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1.2.7磋商文件中带“▲”条款为实质性要求条款，投标人应无条件响应，否则视为无效投标。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1.3招标方式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本次招标采用竞争性磋商方式进行。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1.4投标人资格条件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1.4.1投标人资格条件：见投标人须知前附表及磋商公告。</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1.5投标费用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不论投标结果如何，投标人均应自行承担所有与投标有关的全部费用。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1.6转包与分包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本项目不允许转包和分包。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1.7现场勘踏：</w:t>
      </w:r>
      <w:r>
        <w:rPr>
          <w:rFonts w:hint="eastAsia" w:ascii="仿宋" w:hAnsi="仿宋" w:eastAsia="仿宋"/>
          <w:sz w:val="24"/>
          <w:szCs w:val="24"/>
        </w:rPr>
        <w:t xml:space="preserve">见投标人须知前附表。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1.8特别说明：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1.8.1 投标人投标所使用的资格必须为本法人所拥有。投标人投标所使用的项目实施人员必须为本法人员工。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1.8.2投标人应仔细阅读磋商文件的所有内容，按照磋商文件的要求提交响应文件，并对所提供的全部资料的真实性承担法律责任。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1.8.4投标人递交的响应文件除投标截止时间前书面撤回、密封不符合规定退回等磋商文件规定情形外，均不退回投标人，请投标人自行做好存档。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2.磋商文件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2.1磋商文件的构成。本磋商文件由以下部份组成：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（1）磋商公告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（2）投标人须知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（3）采购需求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（4）评标办法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（5）响应文件格式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（6）本项目磋商文件的澄清、答复、修改、补充的内容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2.2磋商文件中涉及的时间为北京时间，涉及的币种为人民币。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2.3投标人的风险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投标人没有按照磋商文件要求提供全部资料，或者投标人没有对磋商文件在各方面作出实质性响应是投标人的风险，并可能导致其投标被拒绝。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2.4磋商文件的澄清与修改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2.4.1磋商文件的答疑：磋商文件收受人对磋商文件如有疑问，应在须知前附表规定的提出疑问截止时间前按磋商公告中的联系方式，以书面形式通知招标采购单位。招标采购单位对在此规定时间以前收到的、且需要做出澄清的问题，将以第2.4.3款所述方式进行答复，但不说明问题的来源。答疑的内容构成磋商文件组成部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2.4.2磋商文件收受人逾期未提出疑问的或未按磋商文件规定的形式提出疑问的，视为无疑问，招标采购单位不再另行安排时间答疑。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2.4.3磋商文件补充、修改或澄清：采购人在投标截止日前需要对磋商文件进行补充或修改、澄清的，可以按照规定对其进行补充或修改、澄清，并以电子邮件形式告知投标人磋商文件补充、修改或澄清的内容。各投标人有义务自行及时上网查阅。不及时查阅造成的投标差异，后果由投标人自行负责。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2.4.4磋商文件澄清、答复、修改、补充的内容为磋商文件的组成部分。当磋商文件与磋商文件的答复、澄清、修改、补充通知就同一内容的表述不一致时，以最后发出的内容为准。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3.响应文件的编制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3.1响应文件的组成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响应文件应包括：商务文件、技术文件和投标报价文件三个部分（装订成一册），正本壹份、副本肆份。 投标文件电子文件一份（U盘）。</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3.1.1商务文件包括：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（1）法定代表人授权委托书(格式见磋商文件)；</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（2）证明投标人合格的资格文件（要求见磋商文件）；</w:t>
      </w:r>
    </w:p>
    <w:p>
      <w:pPr>
        <w:spacing w:after="0" w:line="360" w:lineRule="auto"/>
        <w:ind w:firstLine="465"/>
        <w:jc w:val="both"/>
        <w:rPr>
          <w:rFonts w:ascii="仿宋" w:hAnsi="仿宋" w:eastAsia="仿宋"/>
          <w:b/>
          <w:sz w:val="24"/>
          <w:szCs w:val="24"/>
        </w:rPr>
      </w:pPr>
      <w:r>
        <w:rPr>
          <w:rFonts w:hint="eastAsia" w:ascii="仿宋" w:hAnsi="仿宋" w:eastAsia="仿宋"/>
          <w:b/>
          <w:sz w:val="24"/>
          <w:szCs w:val="24"/>
        </w:rPr>
        <w:t xml:space="preserve">（3）投标人业绩；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（4）投标人认为需要提交的其他材料（如有）。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3.1.2技术文件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（1）机构设置及主要人员情况介绍（格式见磋商文件）；</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（2）勘察设计方案（格式自拟）； </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（3）投标人需要说明的其他文件和说明（如有）。</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3.1.3投标报价文件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（1）投标函（格式见磋商文件）。投标函除在响应文件中装订外，还应单独装订一份密封在信封内，唱标时使用。</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（2）报价书（格式见磋商文件）。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3.2响应文件的语言及计量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3.2.2投标计量单位，磋商文件已有明确规定的，应使用磋商文件规定的计量单位；磋商文件没有规定的，应采用中华人民共和国法定计量单位，货币单位为人民币元，否则视同未响应。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3.3投标报价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3.3.1投标报价应按磋商文件中相关附表格式填写。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3.3.2投标报价不得超过投标限价，否则将被视为无效投标。</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3.3.3响应文件中的投标报价只允许有一个报价，有选择的或有条件的报价将不予接受。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3.4证明投标人合格的资格文件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投标人在其响应文件中，应提供证明其有资格参加投标，以及中标后有履行合同所必需的人员、管理等方面能力的证明文件，包括但不限于以下方面：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3.4.1年检合格的企业法人营业执照副本或事业单位法人证书复印件；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3.4.2投标人及其法定代表人近三年内无行贿犯罪记录的书面承诺。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3.5证明服务符合磋商文件规定的文件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3.5.1磋商文件商务要求和技术参数前如标有“▲”号，则表示该参数为关键性商务或技术参数，投标人必须无条件满足，否则该投标人的响应文件在评审中将被视为无效投标。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3.6磋商文件的有效期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3.6.1自磋商截止日起60天内响应文件应保持有效。有效期不足的响应文件将被拒绝。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3.6.2在特殊情况下，采购人可于原磋商有效期满之前，向投标人提出延长磋商有效期的要求。延长磋商有效期的要求将被发布在指定的网站上或者直接以电子邮件的形式告知投标人。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3.7响应文件的编制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3.7.1</w:t>
      </w:r>
      <w:r>
        <w:rPr>
          <w:rFonts w:hint="eastAsia" w:ascii="仿宋" w:hAnsi="仿宋" w:eastAsia="仿宋"/>
          <w:b/>
          <w:sz w:val="24"/>
          <w:szCs w:val="24"/>
          <w:u w:val="single"/>
        </w:rPr>
        <w:t>投标人应按本磋商文件规定的格式、要求和顺序编制、装订响应文件，响应文件内容不完整、编排混乱导致响应文件被误读、漏读或者查找不到相关内容的，投标无效</w:t>
      </w:r>
      <w:r>
        <w:rPr>
          <w:rFonts w:hint="eastAsia" w:ascii="仿宋" w:hAnsi="仿宋" w:eastAsia="仿宋"/>
          <w:sz w:val="24"/>
          <w:szCs w:val="24"/>
        </w:rPr>
        <w:t xml:space="preserve">。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3.7.2响应文件的正本与副本须打印或用不褪色的墨水填写。响应文件封面须清楚地标明“正本”或“副本”字样，正本与副本内容一致；若正本与副本不一致，以正本为准。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3.7.3响应文件封面应当由投标人盖公章。《投标函》应由投标人盖公章或由法定代表人（或其委托代理人）签名的，仅由委托代理人签名的，应提供有效的法定代表人授权委托书。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3.7.4响应文件应尽量避免涂改、行间插字或删除。如果出现上述情况，应当由投标人的法定代表人（或委托代理人）签名或由投标人盖公章。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3.8响应文件的装订、密封、修改和撤回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3.8.1响应文件的正本、副本应分别装订成册。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3.8.2所有响应文件装订须牢固不易拆散和换页。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3.8.3投标人应将响应文件用密封袋密封包装。</w:t>
      </w:r>
      <w:r>
        <w:rPr>
          <w:rFonts w:hint="eastAsia" w:ascii="仿宋" w:hAnsi="仿宋" w:eastAsia="仿宋"/>
          <w:b/>
          <w:sz w:val="24"/>
          <w:szCs w:val="24"/>
          <w:u w:val="single"/>
        </w:rPr>
        <w:t>响应文件的密封袋封面上应注明投标人名称、投标项目名称及“开标时启封”字样，并加盖投标人公章。封装应该严密、不易破损。未按规定密封或标记的响应文件将被拒绝、退还给投标人</w:t>
      </w:r>
      <w:r>
        <w:rPr>
          <w:rFonts w:hint="eastAsia" w:ascii="仿宋" w:hAnsi="仿宋" w:eastAsia="仿宋"/>
          <w:b/>
          <w:sz w:val="24"/>
          <w:szCs w:val="24"/>
        </w:rPr>
        <w:t>。</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3.8.4投标人在磋商截止时间之前，可以对已提交的响应文件进行修改或撤回，并书面通知采购人；修改后重新递交的响应文件应当按本磋商文件的要求签署、盖章和密封。磋商截止时间后，投标人不得撤回、修改响应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3.9响应文件的递交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3.9.1投标人应当在投标须知前附表和磋商公告规定的磋商截止时间前向采购人递交响应文件，逾期递交的响应文件将被拒绝。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3.9.2响应文件必须由专人按照磋商须知前附表和磋商公告注明的地址送达，采用特快专递、电话、传真形式的，将被拒绝。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4.开标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4.1采购人将按投标须知前附表和磋商公告规定的时间和地点组织开标，投标人的法定代表人或其委托代理人应持身份证参加开标会并签到。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4.2开标程序：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4.2.1开标会由采购人主持，主持人宣布开标会议开始。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4.2.2 投标人递交资格证明材料。详见投标人须知前附表。</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4.2.3查验投标人到场情况及响应文件的密封情况。投标人的法定代表人或其委托代理人未参加开标会，或投响应文件没有按规定密封的，响应文件将被拒绝、退还给投标人。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4.2.5密封情况及参加人员情况检查完成后进行资格审查和符合性审查。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4.2.6资格性审查和符合性审查结束后，由主持人公布无效投标的投标人名单、投标无效的原因。</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4.2.7工作人员当众拆封经上述审查后有效投标的投标报价文件，唱标人宣读投标人名称、投标报价，并由投标人在投标报价记录上签字确认。</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4.2.8开标会由专人负责记录。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4.2.9投标人对开标有异议的，应当在开标现场提出。开标后投标人不得对开标现场已确认事项提出质疑。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5.评标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5.1组建评标委员会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采购人根据采购项目的特点组建评标委员会。评标委员会由5人或以上奇数组成。具体评标事务由评标委员会负责。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5.2评标的方式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本项目采用不公开方式评标，评标的依据为磋商文件和响应文件。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5.3评标原则和评标办法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5.3.2评标办法。本项目评标办法是综合评分法。评标委员会应根据投标人的资格条件、业绩、财务状况、技术力量、履约能力和投标报价进行综合评定。</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5.4评标程序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5.4.1资格性审查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5.4.2商务文件和技术文件的符合性审查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5.4.3投标报价文件的符合性审查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5.4.4推荐中标候选人</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6.定标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6.1评标委员会综合评估后，推荐中标候选人。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6.2采购人于评标结束后依据评审意见表确定中标人。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7.合同授予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7.1签订合同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7.1.1中标人应自接到采购人通知之日起3个工作日内到采购人处领取中标通知书，无故逾期不领取的，视为自动放弃中标资格。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7.1.2中标人应在领取中标通知书之日起30个工作日内与采购人签订合同。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7.1.3签订合同的依据是磋商文件和中标人的投标响应文件，不得对其作实质性的修改，否则签订的合同无效。</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pPr>
        <w:spacing w:line="220" w:lineRule="atLeast"/>
        <w:ind w:firstLine="270"/>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pStyle w:val="2"/>
        <w:jc w:val="center"/>
        <w:rPr>
          <w:rFonts w:ascii="宋体" w:hAnsi="宋体" w:cs="MingLiU"/>
          <w:kern w:val="0"/>
          <w:sz w:val="28"/>
          <w:szCs w:val="28"/>
        </w:rPr>
      </w:pPr>
      <w:bookmarkStart w:id="1" w:name="_Toc233114000"/>
      <w:bookmarkStart w:id="2" w:name="_Toc294434386"/>
      <w:bookmarkStart w:id="3" w:name="_Toc448855850"/>
      <w:bookmarkStart w:id="4" w:name="_Toc515952993"/>
      <w:r>
        <w:rPr>
          <w:rFonts w:hint="eastAsia" w:ascii="宋体" w:hAnsi="宋体" w:cs="MingLiU"/>
          <w:kern w:val="0"/>
          <w:sz w:val="28"/>
          <w:szCs w:val="28"/>
        </w:rPr>
        <w:t>第三章</w:t>
      </w:r>
      <w:r>
        <w:rPr>
          <w:rFonts w:hint="eastAsia" w:ascii="宋体" w:hAnsi="宋体"/>
          <w:kern w:val="0"/>
          <w:sz w:val="28"/>
          <w:szCs w:val="28"/>
        </w:rPr>
        <w:t xml:space="preserve"> </w:t>
      </w:r>
      <w:r>
        <w:rPr>
          <w:rFonts w:hint="eastAsia" w:ascii="宋体" w:hAnsi="宋体" w:cs="MingLiU"/>
          <w:kern w:val="0"/>
          <w:sz w:val="28"/>
          <w:szCs w:val="28"/>
        </w:rPr>
        <w:t>评标办法（综合评分法）</w:t>
      </w:r>
      <w:bookmarkEnd w:id="1"/>
      <w:bookmarkEnd w:id="2"/>
      <w:bookmarkEnd w:id="3"/>
      <w:bookmarkEnd w:id="4"/>
    </w:p>
    <w:p>
      <w:pPr>
        <w:pStyle w:val="4"/>
        <w:spacing w:before="0" w:after="0" w:line="240" w:lineRule="auto"/>
        <w:jc w:val="center"/>
        <w:rPr>
          <w:rFonts w:ascii="仿宋" w:hAnsi="仿宋" w:eastAsia="仿宋"/>
          <w:sz w:val="24"/>
          <w:szCs w:val="24"/>
        </w:rPr>
      </w:pPr>
      <w:bookmarkStart w:id="5" w:name="_Toc490494607"/>
      <w:bookmarkStart w:id="6" w:name="_Toc504125541"/>
      <w:bookmarkStart w:id="7" w:name="_Toc512263980"/>
      <w:bookmarkStart w:id="8" w:name="_Toc420764374"/>
      <w:bookmarkStart w:id="9" w:name="_Toc420778141"/>
      <w:bookmarkStart w:id="10" w:name="_Toc448855851"/>
      <w:r>
        <w:rPr>
          <w:rFonts w:hint="eastAsia" w:ascii="仿宋" w:hAnsi="仿宋" w:eastAsia="仿宋"/>
          <w:sz w:val="24"/>
          <w:szCs w:val="24"/>
        </w:rPr>
        <w:t>评标办法前附表</w:t>
      </w:r>
      <w:bookmarkEnd w:id="5"/>
      <w:bookmarkEnd w:id="6"/>
      <w:bookmarkEnd w:id="7"/>
    </w:p>
    <w:tbl>
      <w:tblPr>
        <w:tblStyle w:val="25"/>
        <w:tblW w:w="933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245"/>
        <w:gridCol w:w="2489"/>
        <w:gridCol w:w="49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1943" w:type="dxa"/>
            <w:gridSpan w:val="2"/>
            <w:tcMar>
              <w:left w:w="57" w:type="dxa"/>
              <w:right w:w="57" w:type="dxa"/>
            </w:tcMar>
            <w:vAlign w:val="center"/>
          </w:tcPr>
          <w:p>
            <w:pPr>
              <w:jc w:val="center"/>
              <w:rPr>
                <w:rFonts w:ascii="仿宋" w:hAnsi="仿宋" w:eastAsia="仿宋" w:cs="Times New Roman"/>
                <w:b/>
                <w:sz w:val="21"/>
                <w:szCs w:val="21"/>
              </w:rPr>
            </w:pPr>
            <w:r>
              <w:rPr>
                <w:rFonts w:hint="eastAsia" w:ascii="仿宋" w:hAnsi="仿宋" w:eastAsia="仿宋" w:cs="Times New Roman"/>
                <w:b/>
                <w:sz w:val="21"/>
                <w:szCs w:val="21"/>
              </w:rPr>
              <w:t>条款号</w:t>
            </w:r>
          </w:p>
        </w:tc>
        <w:tc>
          <w:tcPr>
            <w:tcW w:w="2489" w:type="dxa"/>
            <w:tcMar>
              <w:left w:w="57" w:type="dxa"/>
              <w:right w:w="57" w:type="dxa"/>
            </w:tcMar>
            <w:vAlign w:val="center"/>
          </w:tcPr>
          <w:p>
            <w:pPr>
              <w:jc w:val="center"/>
              <w:rPr>
                <w:rFonts w:ascii="仿宋" w:hAnsi="仿宋" w:eastAsia="仿宋" w:cs="Times New Roman"/>
                <w:b/>
                <w:sz w:val="21"/>
                <w:szCs w:val="21"/>
              </w:rPr>
            </w:pPr>
            <w:r>
              <w:rPr>
                <w:rFonts w:hint="eastAsia" w:ascii="仿宋" w:hAnsi="仿宋" w:eastAsia="仿宋" w:cs="Times New Roman"/>
                <w:b/>
                <w:sz w:val="21"/>
                <w:szCs w:val="21"/>
              </w:rPr>
              <w:t>评审因素</w:t>
            </w:r>
          </w:p>
        </w:tc>
        <w:tc>
          <w:tcPr>
            <w:tcW w:w="4903" w:type="dxa"/>
            <w:tcMar>
              <w:left w:w="57" w:type="dxa"/>
              <w:right w:w="57" w:type="dxa"/>
            </w:tcMar>
            <w:vAlign w:val="center"/>
          </w:tcPr>
          <w:p>
            <w:pPr>
              <w:jc w:val="center"/>
              <w:rPr>
                <w:rFonts w:ascii="仿宋" w:hAnsi="仿宋" w:eastAsia="仿宋" w:cs="Times New Roman"/>
                <w:b/>
                <w:sz w:val="21"/>
                <w:szCs w:val="21"/>
              </w:rPr>
            </w:pPr>
            <w:r>
              <w:rPr>
                <w:rFonts w:hint="eastAsia" w:ascii="仿宋" w:hAnsi="仿宋" w:eastAsia="仿宋" w:cs="Times New Roman"/>
                <w:b/>
                <w:sz w:val="21"/>
                <w:szCs w:val="21"/>
              </w:rPr>
              <w:t>评审标准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restart"/>
            <w:tcMar>
              <w:left w:w="57" w:type="dxa"/>
              <w:right w:w="57" w:type="dxa"/>
            </w:tcMar>
            <w:vAlign w:val="center"/>
          </w:tcPr>
          <w:p>
            <w:pPr>
              <w:jc w:val="center"/>
              <w:rPr>
                <w:rFonts w:ascii="仿宋" w:hAnsi="仿宋" w:eastAsia="仿宋" w:cs="Times New Roman"/>
                <w:sz w:val="21"/>
                <w:szCs w:val="21"/>
              </w:rPr>
            </w:pPr>
            <w:r>
              <w:rPr>
                <w:rFonts w:hint="eastAsia" w:ascii="仿宋" w:hAnsi="仿宋" w:eastAsia="仿宋" w:cs="Times New Roman"/>
                <w:sz w:val="21"/>
                <w:szCs w:val="21"/>
              </w:rPr>
              <w:t>3</w:t>
            </w:r>
            <w:r>
              <w:rPr>
                <w:rFonts w:ascii="仿宋" w:hAnsi="仿宋" w:eastAsia="仿宋" w:cs="Times New Roman"/>
                <w:sz w:val="21"/>
                <w:szCs w:val="21"/>
              </w:rPr>
              <w:t>.1.1</w:t>
            </w:r>
          </w:p>
        </w:tc>
        <w:tc>
          <w:tcPr>
            <w:tcW w:w="1245" w:type="dxa"/>
            <w:vMerge w:val="restart"/>
            <w:tcMar>
              <w:left w:w="57" w:type="dxa"/>
              <w:right w:w="57" w:type="dxa"/>
            </w:tcMar>
            <w:vAlign w:val="center"/>
          </w:tcPr>
          <w:p>
            <w:pPr>
              <w:jc w:val="center"/>
              <w:rPr>
                <w:rFonts w:ascii="仿宋" w:hAnsi="仿宋" w:eastAsia="仿宋" w:cs="Times New Roman"/>
                <w:sz w:val="21"/>
                <w:szCs w:val="21"/>
              </w:rPr>
            </w:pPr>
            <w:r>
              <w:rPr>
                <w:rFonts w:hint="eastAsia" w:ascii="仿宋" w:hAnsi="仿宋" w:eastAsia="仿宋" w:cs="Times New Roman"/>
                <w:sz w:val="21"/>
                <w:szCs w:val="21"/>
              </w:rPr>
              <w:t>形式评审</w:t>
            </w:r>
          </w:p>
          <w:p>
            <w:pPr>
              <w:jc w:val="center"/>
              <w:rPr>
                <w:rFonts w:ascii="仿宋" w:hAnsi="仿宋" w:eastAsia="仿宋" w:cs="Times New Roman"/>
                <w:sz w:val="21"/>
                <w:szCs w:val="21"/>
              </w:rPr>
            </w:pPr>
            <w:r>
              <w:rPr>
                <w:rFonts w:hint="eastAsia" w:ascii="仿宋" w:hAnsi="仿宋" w:eastAsia="仿宋" w:cs="Times New Roman"/>
                <w:sz w:val="21"/>
                <w:szCs w:val="21"/>
              </w:rPr>
              <w:t>标准</w:t>
            </w: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投标人名称</w:t>
            </w:r>
          </w:p>
        </w:tc>
        <w:tc>
          <w:tcPr>
            <w:tcW w:w="4903"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与营业执照、资质证书一致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投标函签字盖章</w:t>
            </w:r>
          </w:p>
        </w:tc>
        <w:tc>
          <w:tcPr>
            <w:tcW w:w="4903" w:type="dxa"/>
            <w:tcMar>
              <w:left w:w="57" w:type="dxa"/>
              <w:right w:w="57" w:type="dxa"/>
            </w:tcMar>
            <w:vAlign w:val="center"/>
          </w:tcPr>
          <w:p>
            <w:pPr>
              <w:spacing w:line="400" w:lineRule="exact"/>
              <w:rPr>
                <w:rFonts w:ascii="仿宋" w:hAnsi="仿宋" w:eastAsia="仿宋" w:cs="Times New Roman"/>
                <w:sz w:val="21"/>
                <w:szCs w:val="21"/>
              </w:rPr>
            </w:pPr>
            <w:r>
              <w:rPr>
                <w:rFonts w:hint="eastAsia" w:ascii="仿宋" w:hAnsi="仿宋" w:eastAsia="仿宋" w:cs="Times New Roman"/>
                <w:sz w:val="21"/>
                <w:szCs w:val="21"/>
              </w:rPr>
              <w:t>有法定代表人或其委托代理人签字并加盖单位章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投标文件格式</w:t>
            </w:r>
          </w:p>
        </w:tc>
        <w:tc>
          <w:tcPr>
            <w:tcW w:w="4903"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符合第五章“投标文件格式”的要求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报价唯一</w:t>
            </w:r>
          </w:p>
        </w:tc>
        <w:tc>
          <w:tcPr>
            <w:tcW w:w="4903"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只能有一个有效报价，不允许有调价函。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restart"/>
            <w:tcMar>
              <w:left w:w="57" w:type="dxa"/>
              <w:right w:w="57" w:type="dxa"/>
            </w:tcMar>
            <w:vAlign w:val="center"/>
          </w:tcPr>
          <w:p>
            <w:pPr>
              <w:jc w:val="center"/>
              <w:rPr>
                <w:rFonts w:ascii="仿宋" w:hAnsi="仿宋" w:eastAsia="仿宋" w:cs="Times New Roman"/>
                <w:sz w:val="21"/>
                <w:szCs w:val="21"/>
              </w:rPr>
            </w:pPr>
            <w:r>
              <w:rPr>
                <w:rFonts w:hint="eastAsia" w:ascii="仿宋" w:hAnsi="仿宋" w:eastAsia="仿宋" w:cs="Times New Roman"/>
                <w:sz w:val="21"/>
                <w:szCs w:val="21"/>
              </w:rPr>
              <w:t>3</w:t>
            </w:r>
            <w:r>
              <w:rPr>
                <w:rFonts w:ascii="仿宋" w:hAnsi="仿宋" w:eastAsia="仿宋" w:cs="Times New Roman"/>
                <w:sz w:val="21"/>
                <w:szCs w:val="21"/>
              </w:rPr>
              <w:t>.1.2</w:t>
            </w:r>
          </w:p>
        </w:tc>
        <w:tc>
          <w:tcPr>
            <w:tcW w:w="1245" w:type="dxa"/>
            <w:vMerge w:val="restart"/>
            <w:tcMar>
              <w:left w:w="57" w:type="dxa"/>
              <w:right w:w="57" w:type="dxa"/>
            </w:tcMar>
            <w:vAlign w:val="center"/>
          </w:tcPr>
          <w:p>
            <w:pPr>
              <w:jc w:val="center"/>
              <w:rPr>
                <w:rFonts w:ascii="仿宋" w:hAnsi="仿宋" w:eastAsia="仿宋" w:cs="Times New Roman"/>
                <w:sz w:val="21"/>
                <w:szCs w:val="21"/>
              </w:rPr>
            </w:pPr>
            <w:r>
              <w:rPr>
                <w:rFonts w:hint="eastAsia" w:ascii="仿宋" w:hAnsi="仿宋" w:eastAsia="仿宋" w:cs="Times New Roman"/>
                <w:sz w:val="21"/>
                <w:szCs w:val="21"/>
              </w:rPr>
              <w:t>资格评审</w:t>
            </w:r>
          </w:p>
          <w:p>
            <w:pPr>
              <w:jc w:val="center"/>
              <w:rPr>
                <w:rFonts w:ascii="仿宋" w:hAnsi="仿宋" w:eastAsia="仿宋" w:cs="Times New Roman"/>
                <w:sz w:val="21"/>
                <w:szCs w:val="21"/>
              </w:rPr>
            </w:pPr>
            <w:r>
              <w:rPr>
                <w:rFonts w:hint="eastAsia" w:ascii="仿宋" w:hAnsi="仿宋" w:eastAsia="仿宋" w:cs="Times New Roman"/>
                <w:sz w:val="21"/>
                <w:szCs w:val="21"/>
              </w:rPr>
              <w:t>标准</w:t>
            </w: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营业执照</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具备有效的营业执照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jc w:val="cente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资质等级</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符合第一章“磋商公告”第7项规定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jc w:val="cente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类似项目业绩</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符合第一章“磋商公告”第7项规定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jc w:val="cente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信誉</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符合第一章“磋商公告”第7项规定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jc w:val="cente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项目负责人</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符合第一章“磋商公告”第7项规定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jc w:val="cente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其他要求</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符合第一章“磋商公告”第7项规定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restart"/>
            <w:tcMar>
              <w:left w:w="57" w:type="dxa"/>
              <w:right w:w="57" w:type="dxa"/>
            </w:tcMar>
            <w:vAlign w:val="center"/>
          </w:tcPr>
          <w:p>
            <w:pPr>
              <w:jc w:val="center"/>
              <w:rPr>
                <w:rFonts w:ascii="仿宋" w:hAnsi="仿宋" w:eastAsia="仿宋" w:cs="Times New Roman"/>
                <w:sz w:val="21"/>
                <w:szCs w:val="21"/>
              </w:rPr>
            </w:pPr>
            <w:r>
              <w:rPr>
                <w:rFonts w:hint="eastAsia" w:ascii="仿宋" w:hAnsi="仿宋" w:eastAsia="仿宋" w:cs="Times New Roman"/>
                <w:sz w:val="21"/>
                <w:szCs w:val="21"/>
              </w:rPr>
              <w:t>3</w:t>
            </w:r>
            <w:r>
              <w:rPr>
                <w:rFonts w:ascii="仿宋" w:hAnsi="仿宋" w:eastAsia="仿宋" w:cs="Times New Roman"/>
                <w:sz w:val="21"/>
                <w:szCs w:val="21"/>
              </w:rPr>
              <w:t>.1.3</w:t>
            </w:r>
          </w:p>
        </w:tc>
        <w:tc>
          <w:tcPr>
            <w:tcW w:w="1245" w:type="dxa"/>
            <w:vMerge w:val="restart"/>
            <w:tcMar>
              <w:left w:w="57" w:type="dxa"/>
              <w:right w:w="57" w:type="dxa"/>
            </w:tcMar>
            <w:vAlign w:val="center"/>
          </w:tcPr>
          <w:p>
            <w:pPr>
              <w:jc w:val="center"/>
              <w:rPr>
                <w:rFonts w:ascii="仿宋" w:hAnsi="仿宋" w:eastAsia="仿宋" w:cs="Times New Roman"/>
                <w:sz w:val="21"/>
                <w:szCs w:val="21"/>
              </w:rPr>
            </w:pPr>
            <w:r>
              <w:rPr>
                <w:rFonts w:hint="eastAsia" w:ascii="仿宋" w:hAnsi="仿宋" w:eastAsia="仿宋" w:cs="Times New Roman"/>
                <w:sz w:val="21"/>
                <w:szCs w:val="21"/>
              </w:rPr>
              <w:t>响应性</w:t>
            </w:r>
          </w:p>
          <w:p>
            <w:pPr>
              <w:jc w:val="center"/>
              <w:rPr>
                <w:rFonts w:ascii="仿宋" w:hAnsi="仿宋" w:eastAsia="仿宋" w:cs="Times New Roman"/>
                <w:sz w:val="21"/>
                <w:szCs w:val="21"/>
              </w:rPr>
            </w:pPr>
            <w:r>
              <w:rPr>
                <w:rFonts w:hint="eastAsia" w:ascii="仿宋" w:hAnsi="仿宋" w:eastAsia="仿宋" w:cs="Times New Roman"/>
                <w:sz w:val="21"/>
                <w:szCs w:val="21"/>
              </w:rPr>
              <w:t>评审标准</w:t>
            </w: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投标内容</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符合第二章“投标人须知”第3项规定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sz w:val="21"/>
                <w:szCs w:val="21"/>
              </w:rPr>
              <w:t>勘察</w:t>
            </w:r>
            <w:r>
              <w:rPr>
                <w:rFonts w:hint="eastAsia" w:ascii="仿宋" w:hAnsi="仿宋" w:eastAsia="仿宋" w:cs="Times New Roman"/>
                <w:sz w:val="21"/>
                <w:szCs w:val="21"/>
              </w:rPr>
              <w:t>设计工期</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符合第二章“投标人须知前附表</w:t>
            </w:r>
            <w:r>
              <w:rPr>
                <w:rFonts w:ascii="仿宋" w:hAnsi="仿宋" w:eastAsia="仿宋" w:cs="Times New Roman"/>
                <w:sz w:val="21"/>
                <w:szCs w:val="21"/>
              </w:rPr>
              <w:t>”</w:t>
            </w:r>
            <w:r>
              <w:rPr>
                <w:rFonts w:hint="eastAsia" w:ascii="仿宋" w:hAnsi="仿宋" w:eastAsia="仿宋" w:cs="Times New Roman"/>
                <w:sz w:val="21"/>
                <w:szCs w:val="21"/>
              </w:rPr>
              <w:t>第4项规定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设计质量</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符合第二章“投标人须知前附表”第3项规定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投标有效期</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符合第二章“投标人须知”第</w:t>
            </w:r>
            <w:r>
              <w:rPr>
                <w:rFonts w:ascii="仿宋" w:hAnsi="仿宋" w:eastAsia="仿宋" w:cs="Times New Roman"/>
                <w:sz w:val="21"/>
                <w:szCs w:val="21"/>
              </w:rPr>
              <w:t>3</w:t>
            </w:r>
            <w:r>
              <w:rPr>
                <w:rFonts w:hint="eastAsia" w:ascii="仿宋" w:hAnsi="仿宋" w:eastAsia="仿宋" w:cs="Times New Roman"/>
                <w:sz w:val="21"/>
                <w:szCs w:val="21"/>
              </w:rPr>
              <w:t>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698" w:type="dxa"/>
            <w:vMerge w:val="continue"/>
            <w:tcMar>
              <w:left w:w="57" w:type="dxa"/>
              <w:right w:w="57" w:type="dxa"/>
            </w:tcMar>
            <w:vAlign w:val="center"/>
          </w:tcPr>
          <w:p>
            <w:pPr>
              <w:jc w:val="center"/>
              <w:rPr>
                <w:rFonts w:ascii="仿宋" w:hAnsi="仿宋" w:eastAsia="仿宋" w:cs="Times New Roman"/>
                <w:sz w:val="21"/>
                <w:szCs w:val="21"/>
              </w:rPr>
            </w:pPr>
          </w:p>
        </w:tc>
        <w:tc>
          <w:tcPr>
            <w:tcW w:w="1245" w:type="dxa"/>
            <w:vMerge w:val="continue"/>
            <w:tcMar>
              <w:left w:w="57" w:type="dxa"/>
              <w:right w:w="57" w:type="dxa"/>
            </w:tcMar>
            <w:vAlign w:val="center"/>
          </w:tcPr>
          <w:p>
            <w:pPr>
              <w:rPr>
                <w:rFonts w:ascii="仿宋" w:hAnsi="仿宋" w:eastAsia="仿宋" w:cs="Times New Roman"/>
                <w:sz w:val="21"/>
                <w:szCs w:val="21"/>
              </w:rPr>
            </w:pPr>
          </w:p>
        </w:tc>
        <w:tc>
          <w:tcPr>
            <w:tcW w:w="2489" w:type="dxa"/>
            <w:tcMar>
              <w:left w:w="57" w:type="dxa"/>
              <w:right w:w="57" w:type="dxa"/>
            </w:tcMar>
            <w:vAlign w:val="center"/>
          </w:tcPr>
          <w:p>
            <w:pPr>
              <w:rPr>
                <w:rFonts w:ascii="仿宋" w:hAnsi="仿宋" w:eastAsia="仿宋" w:cs="Times New Roman"/>
                <w:sz w:val="21"/>
                <w:szCs w:val="21"/>
              </w:rPr>
            </w:pPr>
            <w:r>
              <w:rPr>
                <w:rFonts w:hint="eastAsia" w:ascii="仿宋" w:hAnsi="仿宋" w:eastAsia="仿宋" w:cs="Times New Roman"/>
                <w:sz w:val="21"/>
                <w:szCs w:val="21"/>
              </w:rPr>
              <w:t>权利义务</w:t>
            </w:r>
          </w:p>
        </w:tc>
        <w:tc>
          <w:tcPr>
            <w:tcW w:w="4903" w:type="dxa"/>
            <w:vAlign w:val="center"/>
          </w:tcPr>
          <w:p>
            <w:pPr>
              <w:rPr>
                <w:rFonts w:ascii="仿宋" w:hAnsi="仿宋" w:eastAsia="仿宋" w:cs="Times New Roman"/>
                <w:sz w:val="21"/>
                <w:szCs w:val="21"/>
              </w:rPr>
            </w:pPr>
            <w:r>
              <w:rPr>
                <w:rFonts w:hint="eastAsia" w:ascii="仿宋" w:hAnsi="仿宋" w:eastAsia="仿宋" w:cs="Times New Roman"/>
                <w:sz w:val="21"/>
                <w:szCs w:val="21"/>
              </w:rPr>
              <w:t>符合第四章“合同条款及格式”规定</w:t>
            </w:r>
          </w:p>
        </w:tc>
      </w:tr>
    </w:tbl>
    <w:p>
      <w:pPr>
        <w:rPr>
          <w:rFonts w:ascii="仿宋" w:hAnsi="仿宋" w:eastAsia="仿宋"/>
          <w:sz w:val="24"/>
          <w:szCs w:val="24"/>
        </w:rPr>
      </w:pPr>
    </w:p>
    <w:p>
      <w:pPr>
        <w:rPr>
          <w:rFonts w:ascii="仿宋" w:hAnsi="仿宋" w:eastAsia="仿宋"/>
          <w:bCs/>
          <w:sz w:val="24"/>
          <w:szCs w:val="24"/>
        </w:rPr>
      </w:pPr>
      <w:r>
        <w:rPr>
          <w:rFonts w:hint="eastAsia" w:ascii="仿宋" w:hAnsi="仿宋" w:eastAsia="仿宋"/>
          <w:sz w:val="24"/>
          <w:szCs w:val="24"/>
        </w:rPr>
        <w:t>1.</w:t>
      </w:r>
      <w:r>
        <w:rPr>
          <w:rFonts w:ascii="仿宋" w:hAnsi="仿宋" w:eastAsia="仿宋"/>
          <w:sz w:val="24"/>
          <w:szCs w:val="24"/>
        </w:rPr>
        <w:t>评标方法</w:t>
      </w:r>
      <w:bookmarkEnd w:id="8"/>
      <w:bookmarkEnd w:id="9"/>
      <w:bookmarkEnd w:id="10"/>
    </w:p>
    <w:p>
      <w:pPr>
        <w:tabs>
          <w:tab w:val="left" w:pos="832"/>
        </w:tabs>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根</w:t>
      </w:r>
      <w:r>
        <w:rPr>
          <w:rFonts w:hint="eastAsia" w:ascii="仿宋" w:hAnsi="仿宋" w:eastAsia="仿宋"/>
          <w:sz w:val="24"/>
          <w:szCs w:val="24"/>
        </w:rPr>
        <w:t>据《中华人民共和国招标投标法》、《湖北省招标投标综合管理办法》</w:t>
      </w:r>
      <w:r>
        <w:rPr>
          <w:rFonts w:ascii="仿宋" w:hAnsi="仿宋" w:eastAsia="仿宋" w:cs="Times New Roman"/>
          <w:sz w:val="24"/>
          <w:szCs w:val="24"/>
        </w:rPr>
        <w:t>，结合本工程实际情况，制定本办法。</w:t>
      </w:r>
    </w:p>
    <w:p>
      <w:pPr>
        <w:rPr>
          <w:rFonts w:ascii="仿宋" w:hAnsi="仿宋" w:eastAsia="仿宋"/>
          <w:bCs/>
          <w:sz w:val="24"/>
          <w:szCs w:val="24"/>
        </w:rPr>
      </w:pPr>
      <w:bookmarkStart w:id="11" w:name="_Toc420764375"/>
      <w:bookmarkStart w:id="12" w:name="_Toc420778142"/>
      <w:bookmarkStart w:id="13" w:name="_Toc448855852"/>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1评标组织机构</w:t>
      </w:r>
      <w:bookmarkEnd w:id="11"/>
      <w:bookmarkEnd w:id="12"/>
      <w:bookmarkEnd w:id="13"/>
    </w:p>
    <w:p>
      <w:pPr>
        <w:spacing w:after="0" w:line="360" w:lineRule="auto"/>
        <w:ind w:firstLine="480" w:firstLineChars="200"/>
        <w:jc w:val="both"/>
        <w:rPr>
          <w:rFonts w:ascii="仿宋" w:hAnsi="仿宋" w:eastAsia="仿宋" w:cs="宋体"/>
          <w:sz w:val="24"/>
          <w:szCs w:val="24"/>
        </w:rPr>
      </w:pPr>
      <w:r>
        <w:rPr>
          <w:rFonts w:hint="eastAsia" w:ascii="仿宋" w:hAnsi="仿宋" w:eastAsia="仿宋" w:cs="Times New Roman"/>
          <w:sz w:val="24"/>
          <w:szCs w:val="24"/>
        </w:rPr>
        <w:t>1</w:t>
      </w:r>
      <w:r>
        <w:rPr>
          <w:rFonts w:ascii="仿宋" w:hAnsi="仿宋" w:eastAsia="仿宋" w:cs="Times New Roman"/>
          <w:sz w:val="24"/>
          <w:szCs w:val="24"/>
        </w:rPr>
        <w:t>.</w:t>
      </w:r>
      <w:r>
        <w:rPr>
          <w:rFonts w:hint="eastAsia" w:ascii="仿宋" w:hAnsi="仿宋" w:eastAsia="仿宋" w:cs="Times New Roman"/>
          <w:sz w:val="24"/>
          <w:szCs w:val="24"/>
        </w:rPr>
        <w:t>1.</w:t>
      </w:r>
      <w:r>
        <w:rPr>
          <w:rFonts w:ascii="仿宋" w:hAnsi="仿宋" w:eastAsia="仿宋" w:cs="Times New Roman"/>
          <w:sz w:val="24"/>
          <w:szCs w:val="24"/>
        </w:rPr>
        <w:t>1</w:t>
      </w:r>
      <w:r>
        <w:rPr>
          <w:rFonts w:hint="eastAsia" w:ascii="仿宋" w:hAnsi="仿宋" w:eastAsia="仿宋" w:cs="宋体"/>
          <w:sz w:val="24"/>
          <w:szCs w:val="24"/>
        </w:rPr>
        <w:t>本次评标由依法组建的</w:t>
      </w:r>
      <w:r>
        <w:rPr>
          <w:rFonts w:ascii="仿宋" w:hAnsi="仿宋" w:eastAsia="仿宋" w:cs="宋体"/>
          <w:sz w:val="24"/>
          <w:szCs w:val="24"/>
        </w:rPr>
        <w:t>评标委员会</w:t>
      </w:r>
      <w:r>
        <w:rPr>
          <w:rFonts w:hint="eastAsia" w:ascii="仿宋" w:hAnsi="仿宋" w:eastAsia="仿宋" w:cs="宋体"/>
          <w:sz w:val="24"/>
          <w:szCs w:val="24"/>
        </w:rPr>
        <w:t>评审</w:t>
      </w:r>
      <w:r>
        <w:rPr>
          <w:rFonts w:ascii="仿宋" w:hAnsi="仿宋" w:eastAsia="仿宋" w:cs="宋体"/>
          <w:sz w:val="24"/>
          <w:szCs w:val="24"/>
        </w:rPr>
        <w:t>，成员人数为5人以上</w:t>
      </w:r>
      <w:r>
        <w:rPr>
          <w:rFonts w:hint="eastAsia" w:ascii="仿宋" w:hAnsi="仿宋" w:eastAsia="仿宋" w:cs="宋体"/>
          <w:sz w:val="24"/>
          <w:szCs w:val="24"/>
        </w:rPr>
        <w:t>（或5人）</w:t>
      </w:r>
      <w:r>
        <w:rPr>
          <w:rFonts w:ascii="仿宋" w:hAnsi="仿宋" w:eastAsia="仿宋" w:cs="宋体"/>
          <w:sz w:val="24"/>
          <w:szCs w:val="24"/>
        </w:rPr>
        <w:t>的单数。</w:t>
      </w:r>
    </w:p>
    <w:p>
      <w:pPr>
        <w:autoSpaceDE w:val="0"/>
        <w:autoSpaceDN w:val="0"/>
        <w:spacing w:after="0" w:line="360" w:lineRule="auto"/>
        <w:ind w:right="-109" w:firstLine="480" w:firstLineChars="200"/>
        <w:jc w:val="both"/>
        <w:rPr>
          <w:rFonts w:ascii="仿宋" w:hAnsi="仿宋" w:eastAsia="仿宋" w:cs="MingLiU"/>
          <w:sz w:val="24"/>
          <w:szCs w:val="24"/>
        </w:rPr>
      </w:pPr>
      <w:r>
        <w:rPr>
          <w:rFonts w:hint="eastAsia" w:ascii="仿宋" w:hAnsi="仿宋" w:eastAsia="仿宋" w:cs="Times New Roman"/>
          <w:sz w:val="24"/>
          <w:szCs w:val="24"/>
        </w:rPr>
        <w:t>1</w:t>
      </w:r>
      <w:r>
        <w:rPr>
          <w:rFonts w:ascii="仿宋" w:hAnsi="仿宋" w:eastAsia="仿宋" w:cs="Times New Roman"/>
          <w:sz w:val="24"/>
          <w:szCs w:val="24"/>
        </w:rPr>
        <w:t>.</w:t>
      </w:r>
      <w:r>
        <w:rPr>
          <w:rFonts w:hint="eastAsia" w:ascii="仿宋" w:hAnsi="仿宋" w:eastAsia="仿宋" w:cs="Times New Roman"/>
          <w:sz w:val="24"/>
          <w:szCs w:val="24"/>
        </w:rPr>
        <w:t>1.2</w:t>
      </w:r>
      <w:r>
        <w:rPr>
          <w:rFonts w:hint="eastAsia" w:ascii="仿宋" w:hAnsi="仿宋" w:eastAsia="仿宋" w:cs="MingLiU"/>
          <w:sz w:val="24"/>
          <w:szCs w:val="24"/>
        </w:rPr>
        <w:t>评标</w:t>
      </w:r>
      <w:r>
        <w:rPr>
          <w:rFonts w:hint="eastAsia" w:ascii="仿宋" w:hAnsi="仿宋" w:eastAsia="仿宋" w:cs="MingLiU"/>
          <w:spacing w:val="1"/>
          <w:sz w:val="24"/>
          <w:szCs w:val="24"/>
        </w:rPr>
        <w:t>委</w:t>
      </w:r>
      <w:r>
        <w:rPr>
          <w:rFonts w:hint="eastAsia" w:ascii="仿宋" w:hAnsi="仿宋" w:eastAsia="仿宋" w:cs="MingLiU"/>
          <w:sz w:val="24"/>
          <w:szCs w:val="24"/>
        </w:rPr>
        <w:t>员会按照</w:t>
      </w:r>
      <w:r>
        <w:rPr>
          <w:rFonts w:hint="eastAsia" w:ascii="仿宋" w:hAnsi="仿宋" w:eastAsia="仿宋" w:cs="MingLiU"/>
          <w:spacing w:val="1"/>
          <w:sz w:val="24"/>
          <w:szCs w:val="24"/>
        </w:rPr>
        <w:t>得分</w:t>
      </w:r>
      <w:r>
        <w:rPr>
          <w:rFonts w:hint="eastAsia" w:ascii="仿宋" w:hAnsi="仿宋" w:eastAsia="仿宋" w:cs="MingLiU"/>
          <w:sz w:val="24"/>
          <w:szCs w:val="24"/>
        </w:rPr>
        <w:t>由高到低的顺序推荐3名中标候选人。</w:t>
      </w:r>
    </w:p>
    <w:p>
      <w:pPr>
        <w:spacing w:after="0" w:line="360" w:lineRule="auto"/>
        <w:ind w:firstLine="484" w:firstLineChars="200"/>
        <w:jc w:val="both"/>
        <w:rPr>
          <w:rFonts w:ascii="仿宋" w:hAnsi="仿宋" w:eastAsia="仿宋" w:cs="宋体"/>
          <w:sz w:val="24"/>
          <w:szCs w:val="24"/>
        </w:rPr>
      </w:pPr>
      <w:r>
        <w:rPr>
          <w:rFonts w:hint="eastAsia" w:ascii="仿宋" w:hAnsi="仿宋" w:eastAsia="仿宋" w:cs="Times New Roman"/>
          <w:spacing w:val="1"/>
          <w:sz w:val="24"/>
          <w:szCs w:val="24"/>
        </w:rPr>
        <w:t>1.1.3</w:t>
      </w:r>
      <w:r>
        <w:rPr>
          <w:rFonts w:hint="eastAsia" w:ascii="仿宋" w:hAnsi="仿宋" w:eastAsia="仿宋" w:cs="MingLiU"/>
          <w:sz w:val="24"/>
          <w:szCs w:val="24"/>
        </w:rPr>
        <w:t>评标</w:t>
      </w:r>
      <w:r>
        <w:rPr>
          <w:rFonts w:hint="eastAsia" w:ascii="仿宋" w:hAnsi="仿宋" w:eastAsia="仿宋" w:cs="MingLiU"/>
          <w:spacing w:val="-1"/>
          <w:sz w:val="24"/>
          <w:szCs w:val="24"/>
        </w:rPr>
        <w:t>委</w:t>
      </w:r>
      <w:r>
        <w:rPr>
          <w:rFonts w:hint="eastAsia" w:ascii="仿宋" w:hAnsi="仿宋" w:eastAsia="仿宋" w:cs="MingLiU"/>
          <w:sz w:val="24"/>
          <w:szCs w:val="24"/>
        </w:rPr>
        <w:t>员会完成评标后，向招标人提交书面评标报告后自动解散。</w:t>
      </w:r>
    </w:p>
    <w:p>
      <w:pPr>
        <w:rPr>
          <w:rFonts w:ascii="仿宋" w:hAnsi="仿宋" w:eastAsia="仿宋"/>
          <w:bCs/>
          <w:sz w:val="24"/>
          <w:szCs w:val="24"/>
        </w:rPr>
      </w:pPr>
      <w:bookmarkStart w:id="14" w:name="_Toc420764376"/>
      <w:bookmarkStart w:id="15" w:name="_Toc448855853"/>
      <w:bookmarkStart w:id="16" w:name="_Toc420778143"/>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2评标原则</w:t>
      </w:r>
      <w:bookmarkEnd w:id="14"/>
      <w:bookmarkEnd w:id="15"/>
      <w:bookmarkEnd w:id="16"/>
    </w:p>
    <w:p>
      <w:pPr>
        <w:tabs>
          <w:tab w:val="left" w:pos="416"/>
        </w:tabs>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sz w:val="24"/>
          <w:szCs w:val="24"/>
        </w:rPr>
        <w:t>遵循</w:t>
      </w:r>
      <w:r>
        <w:rPr>
          <w:rFonts w:hint="eastAsia" w:ascii="仿宋" w:hAnsi="仿宋" w:eastAsia="仿宋" w:cs="Times New Roman"/>
          <w:sz w:val="24"/>
          <w:szCs w:val="24"/>
        </w:rPr>
        <w:t>公平、公正、科学、择优的原则。</w:t>
      </w:r>
    </w:p>
    <w:p>
      <w:pPr>
        <w:tabs>
          <w:tab w:val="left" w:pos="416"/>
        </w:tabs>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(2)依据：</w:t>
      </w:r>
    </w:p>
    <w:p>
      <w:pPr>
        <w:tabs>
          <w:tab w:val="left" w:pos="416"/>
        </w:tabs>
        <w:spacing w:after="0" w:line="360" w:lineRule="auto"/>
        <w:ind w:firstLine="840" w:firstLineChars="350"/>
        <w:jc w:val="both"/>
        <w:rPr>
          <w:rFonts w:ascii="仿宋" w:hAnsi="仿宋" w:eastAsia="仿宋" w:cs="Times New Roman"/>
          <w:sz w:val="24"/>
          <w:szCs w:val="24"/>
        </w:rPr>
      </w:pPr>
      <w:r>
        <w:rPr>
          <w:rFonts w:ascii="仿宋" w:hAnsi="仿宋" w:eastAsia="仿宋" w:cs="Times New Roman"/>
          <w:sz w:val="24"/>
          <w:szCs w:val="24"/>
        </w:rPr>
        <w:t>a</w:t>
      </w:r>
      <w:r>
        <w:rPr>
          <w:rFonts w:hint="eastAsia" w:ascii="仿宋" w:hAnsi="仿宋" w:eastAsia="仿宋" w:cs="Times New Roman"/>
          <w:sz w:val="24"/>
          <w:szCs w:val="24"/>
        </w:rPr>
        <w:t>招标文件及招标人的补充通知；</w:t>
      </w:r>
    </w:p>
    <w:p>
      <w:pPr>
        <w:tabs>
          <w:tab w:val="left" w:pos="416"/>
        </w:tabs>
        <w:spacing w:after="0" w:line="360" w:lineRule="auto"/>
        <w:ind w:firstLine="840" w:firstLineChars="350"/>
        <w:jc w:val="both"/>
        <w:rPr>
          <w:rFonts w:ascii="仿宋" w:hAnsi="仿宋" w:eastAsia="仿宋" w:cs="Times New Roman"/>
          <w:sz w:val="24"/>
          <w:szCs w:val="24"/>
        </w:rPr>
      </w:pPr>
      <w:r>
        <w:rPr>
          <w:rFonts w:ascii="仿宋" w:hAnsi="仿宋" w:eastAsia="仿宋" w:cs="Times New Roman"/>
          <w:sz w:val="24"/>
          <w:szCs w:val="24"/>
        </w:rPr>
        <w:t>b</w:t>
      </w:r>
      <w:r>
        <w:rPr>
          <w:rFonts w:hint="eastAsia" w:ascii="仿宋" w:hAnsi="仿宋" w:eastAsia="仿宋" w:cs="Times New Roman"/>
          <w:sz w:val="24"/>
          <w:szCs w:val="24"/>
        </w:rPr>
        <w:t>有效的投标文件及评标要求澄清的文件；</w:t>
      </w:r>
    </w:p>
    <w:p>
      <w:pPr>
        <w:rPr>
          <w:rFonts w:ascii="仿宋" w:hAnsi="仿宋" w:eastAsia="仿宋"/>
          <w:bCs/>
          <w:sz w:val="24"/>
          <w:szCs w:val="24"/>
        </w:rPr>
      </w:pPr>
      <w:bookmarkStart w:id="17" w:name="_Toc448855854"/>
      <w:bookmarkStart w:id="18" w:name="_Toc420778144"/>
      <w:bookmarkStart w:id="19" w:name="_Toc420764377"/>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3 评标程序</w:t>
      </w:r>
      <w:bookmarkEnd w:id="17"/>
      <w:bookmarkEnd w:id="18"/>
      <w:bookmarkEnd w:id="19"/>
    </w:p>
    <w:p>
      <w:pPr>
        <w:spacing w:after="0" w:line="360" w:lineRule="auto"/>
        <w:ind w:left="1" w:firstLine="480" w:firstLineChars="200"/>
        <w:jc w:val="both"/>
        <w:rPr>
          <w:rFonts w:ascii="仿宋" w:hAnsi="仿宋" w:eastAsia="仿宋" w:cs="Times New Roman"/>
          <w:sz w:val="24"/>
          <w:szCs w:val="24"/>
        </w:rPr>
      </w:pPr>
      <w:r>
        <w:rPr>
          <w:rFonts w:hint="eastAsia" w:ascii="仿宋" w:hAnsi="仿宋" w:eastAsia="仿宋" w:cs="Times New Roman"/>
          <w:sz w:val="24"/>
          <w:szCs w:val="24"/>
        </w:rPr>
        <w:t>评标按两个阶段进行，即初步评审和详细评审。</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(一) 评标准备</w:t>
      </w:r>
    </w:p>
    <w:p>
      <w:pPr>
        <w:tabs>
          <w:tab w:val="left" w:pos="832"/>
        </w:tabs>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评标委员会成员研究招标文件，熟悉评标办法，掌握评标程序、标准和方法，编制供评标使用的相应表格。</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(二)</w:t>
      </w:r>
      <w:r>
        <w:rPr>
          <w:rFonts w:ascii="仿宋" w:hAnsi="仿宋" w:eastAsia="仿宋" w:cs="Times New Roman"/>
          <w:sz w:val="24"/>
          <w:szCs w:val="24"/>
        </w:rPr>
        <w:t xml:space="preserve"> </w:t>
      </w:r>
      <w:r>
        <w:rPr>
          <w:rFonts w:hint="eastAsia" w:ascii="仿宋" w:hAnsi="仿宋" w:eastAsia="仿宋" w:cs="Times New Roman"/>
          <w:sz w:val="24"/>
          <w:szCs w:val="24"/>
        </w:rPr>
        <w:t>初步评审</w:t>
      </w:r>
    </w:p>
    <w:p>
      <w:pPr>
        <w:spacing w:after="0" w:line="360" w:lineRule="auto"/>
        <w:ind w:firstLine="482" w:firstLineChars="200"/>
        <w:jc w:val="both"/>
        <w:rPr>
          <w:rFonts w:ascii="仿宋" w:hAnsi="仿宋" w:eastAsia="仿宋" w:cs="Times New Roman"/>
          <w:b/>
          <w:sz w:val="24"/>
          <w:szCs w:val="24"/>
        </w:rPr>
      </w:pPr>
      <w:r>
        <w:rPr>
          <w:rFonts w:hint="eastAsia" w:ascii="仿宋" w:hAnsi="仿宋" w:eastAsia="仿宋" w:cs="Times New Roman"/>
          <w:b/>
          <w:sz w:val="24"/>
          <w:szCs w:val="24"/>
        </w:rPr>
        <w:t>(1)</w:t>
      </w:r>
      <w:r>
        <w:rPr>
          <w:rFonts w:ascii="仿宋" w:hAnsi="仿宋" w:eastAsia="仿宋" w:cs="Times New Roman"/>
          <w:b/>
          <w:sz w:val="24"/>
          <w:szCs w:val="24"/>
        </w:rPr>
        <w:t>初审</w:t>
      </w:r>
    </w:p>
    <w:p>
      <w:pPr>
        <w:spacing w:after="0" w:line="360" w:lineRule="auto"/>
        <w:ind w:firstLine="480" w:firstLineChars="200"/>
        <w:jc w:val="both"/>
        <w:rPr>
          <w:rFonts w:ascii="仿宋" w:hAnsi="仿宋" w:eastAsia="仿宋" w:cs="Times New Roman"/>
          <w:sz w:val="24"/>
          <w:szCs w:val="24"/>
        </w:rPr>
      </w:pPr>
      <w:r>
        <w:rPr>
          <w:rFonts w:ascii="仿宋" w:hAnsi="仿宋" w:eastAsia="仿宋" w:cs="Times New Roman"/>
          <w:sz w:val="24"/>
          <w:szCs w:val="24"/>
        </w:rPr>
        <w:t>主要依据本条规定对投标文件的商务符合性和技术可靠性进行评审。投标文件应实质上响应招标文件中所有条款和条件，无显著的差异或保留。评标委员应在认真审阅投标文件的基础上，对不具备进入详细评审条件的投标文件应提出相应的依据。</w:t>
      </w:r>
    </w:p>
    <w:p>
      <w:pPr>
        <w:spacing w:after="0" w:line="360" w:lineRule="auto"/>
        <w:ind w:firstLine="482" w:firstLineChars="200"/>
        <w:jc w:val="both"/>
        <w:rPr>
          <w:rFonts w:ascii="仿宋" w:hAnsi="仿宋" w:eastAsia="仿宋" w:cs="Times New Roman"/>
          <w:b/>
          <w:sz w:val="24"/>
          <w:szCs w:val="24"/>
        </w:rPr>
      </w:pPr>
      <w:r>
        <w:rPr>
          <w:rFonts w:hint="eastAsia" w:ascii="仿宋" w:hAnsi="仿宋" w:eastAsia="仿宋" w:cs="Times New Roman"/>
          <w:b/>
          <w:sz w:val="24"/>
          <w:szCs w:val="24"/>
        </w:rPr>
        <w:t>(2)</w:t>
      </w:r>
      <w:r>
        <w:rPr>
          <w:rFonts w:hint="eastAsia" w:ascii="仿宋" w:hAnsi="仿宋" w:eastAsia="仿宋"/>
          <w:b/>
          <w:sz w:val="24"/>
          <w:szCs w:val="24"/>
        </w:rPr>
        <w:t>投标文件响应性检查</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评标委员会应当审查每一投标文件是否对招标文件提出的所有要求和条件作出实质性响应。投标文件有重大偏差的，视为未能对招标文件作出实质性响应。</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所谓重大偏差是指下列情况之一：</w:t>
      </w:r>
    </w:p>
    <w:p>
      <w:pPr>
        <w:spacing w:after="0" w:line="360" w:lineRule="auto"/>
        <w:ind w:left="416" w:firstLine="480" w:firstLineChars="200"/>
        <w:jc w:val="both"/>
        <w:rPr>
          <w:rFonts w:ascii="仿宋" w:hAnsi="仿宋" w:eastAsia="仿宋" w:cs="Times New Roman"/>
          <w:sz w:val="24"/>
          <w:szCs w:val="24"/>
        </w:rPr>
      </w:pPr>
      <w:r>
        <w:rPr>
          <w:rFonts w:hint="eastAsia" w:ascii="仿宋" w:hAnsi="仿宋" w:eastAsia="仿宋" w:cs="Times New Roman"/>
          <w:sz w:val="24"/>
          <w:szCs w:val="24"/>
        </w:rPr>
        <w:t>①对投标的工程范围和工作内容有实质性的偏离；</w:t>
      </w:r>
    </w:p>
    <w:p>
      <w:pPr>
        <w:spacing w:after="0" w:line="360" w:lineRule="auto"/>
        <w:ind w:left="416" w:firstLine="480" w:firstLineChars="200"/>
        <w:jc w:val="both"/>
        <w:rPr>
          <w:rFonts w:ascii="仿宋" w:hAnsi="仿宋" w:eastAsia="仿宋" w:cs="Times New Roman"/>
          <w:sz w:val="24"/>
          <w:szCs w:val="24"/>
        </w:rPr>
      </w:pPr>
      <w:r>
        <w:rPr>
          <w:rFonts w:hint="eastAsia" w:ascii="仿宋" w:hAnsi="仿宋" w:eastAsia="仿宋" w:cs="Times New Roman"/>
          <w:sz w:val="24"/>
          <w:szCs w:val="24"/>
        </w:rPr>
        <w:t>②投标文件载明的招标项目完成期限超过招标文件规定的期限；</w:t>
      </w:r>
    </w:p>
    <w:p>
      <w:pPr>
        <w:spacing w:after="0" w:line="360" w:lineRule="auto"/>
        <w:ind w:left="416" w:firstLine="480" w:firstLineChars="200"/>
        <w:jc w:val="both"/>
        <w:rPr>
          <w:rFonts w:ascii="仿宋" w:hAnsi="仿宋" w:eastAsia="仿宋" w:cs="Times New Roman"/>
          <w:sz w:val="24"/>
          <w:szCs w:val="24"/>
        </w:rPr>
      </w:pPr>
      <w:r>
        <w:rPr>
          <w:rFonts w:hint="eastAsia" w:ascii="仿宋" w:hAnsi="仿宋" w:eastAsia="仿宋" w:cs="Times New Roman"/>
          <w:sz w:val="24"/>
          <w:szCs w:val="24"/>
        </w:rPr>
        <w:t>③对工程质量或使用性能产生不利影响；</w:t>
      </w:r>
    </w:p>
    <w:p>
      <w:pPr>
        <w:spacing w:after="0" w:line="360" w:lineRule="auto"/>
        <w:ind w:left="416" w:firstLine="480" w:firstLineChars="200"/>
        <w:jc w:val="both"/>
        <w:rPr>
          <w:rFonts w:ascii="仿宋" w:hAnsi="仿宋" w:eastAsia="仿宋" w:cs="Times New Roman"/>
          <w:sz w:val="24"/>
          <w:szCs w:val="24"/>
        </w:rPr>
      </w:pPr>
      <w:r>
        <w:rPr>
          <w:rFonts w:hint="eastAsia" w:ascii="仿宋" w:hAnsi="仿宋" w:eastAsia="仿宋" w:cs="Times New Roman"/>
          <w:sz w:val="24"/>
          <w:szCs w:val="24"/>
        </w:rPr>
        <w:t>④对合同中规定的双方的权利和义务作实质性修改；</w:t>
      </w:r>
    </w:p>
    <w:p>
      <w:pPr>
        <w:spacing w:after="0" w:line="360" w:lineRule="auto"/>
        <w:ind w:left="416" w:firstLine="480" w:firstLineChars="200"/>
        <w:jc w:val="both"/>
        <w:rPr>
          <w:rFonts w:ascii="仿宋" w:hAnsi="仿宋" w:eastAsia="仿宋" w:cs="Times New Roman"/>
          <w:sz w:val="24"/>
          <w:szCs w:val="24"/>
        </w:rPr>
      </w:pPr>
      <w:r>
        <w:rPr>
          <w:rFonts w:hint="eastAsia" w:ascii="仿宋" w:hAnsi="仿宋" w:eastAsia="仿宋" w:cs="Times New Roman"/>
          <w:sz w:val="24"/>
          <w:szCs w:val="24"/>
        </w:rPr>
        <w:t>⑤投标文件附有招标人不能接受的条件；</w:t>
      </w:r>
    </w:p>
    <w:p>
      <w:pPr>
        <w:spacing w:after="0" w:line="360" w:lineRule="auto"/>
        <w:ind w:left="416" w:firstLine="480" w:firstLineChars="200"/>
        <w:jc w:val="both"/>
        <w:rPr>
          <w:rFonts w:ascii="仿宋" w:hAnsi="仿宋" w:eastAsia="仿宋" w:cs="Times New Roman"/>
          <w:sz w:val="24"/>
          <w:szCs w:val="24"/>
        </w:rPr>
      </w:pPr>
      <w:r>
        <w:rPr>
          <w:rFonts w:hint="eastAsia" w:ascii="仿宋" w:hAnsi="仿宋" w:eastAsia="仿宋" w:cs="Times New Roman"/>
          <w:sz w:val="24"/>
          <w:szCs w:val="24"/>
        </w:rPr>
        <w:t>⑥不符合招标文件中规定的其它实质性要求。</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(3)无效投标文件</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发包人对有下列情况之一的投标文件，可以拒绝或按无效投标文件处理：</w:t>
      </w:r>
    </w:p>
    <w:p>
      <w:pPr>
        <w:tabs>
          <w:tab w:val="left" w:pos="1040"/>
          <w:tab w:val="left" w:pos="1440"/>
        </w:tabs>
        <w:spacing w:after="0" w:line="360" w:lineRule="auto"/>
        <w:ind w:left="218" w:leftChars="99" w:firstLine="480" w:firstLineChars="200"/>
        <w:jc w:val="both"/>
        <w:rPr>
          <w:rFonts w:ascii="仿宋" w:hAnsi="仿宋" w:eastAsia="仿宋" w:cs="Times New Roman"/>
          <w:sz w:val="24"/>
          <w:szCs w:val="24"/>
        </w:rPr>
      </w:pPr>
      <w:r>
        <w:rPr>
          <w:rFonts w:hint="eastAsia" w:ascii="仿宋" w:hAnsi="仿宋" w:eastAsia="仿宋" w:cs="Times New Roman"/>
          <w:sz w:val="24"/>
          <w:szCs w:val="24"/>
        </w:rPr>
        <w:t>①有本条(2)</w:t>
      </w:r>
      <w:r>
        <w:rPr>
          <w:rFonts w:ascii="仿宋" w:hAnsi="仿宋" w:eastAsia="仿宋" w:cs="Times New Roman"/>
          <w:sz w:val="24"/>
          <w:szCs w:val="24"/>
        </w:rPr>
        <w:t>款所列重大偏差或保留情况之一的；</w:t>
      </w:r>
    </w:p>
    <w:p>
      <w:pPr>
        <w:tabs>
          <w:tab w:val="left" w:pos="1440"/>
        </w:tabs>
        <w:spacing w:after="0" w:line="360" w:lineRule="auto"/>
        <w:ind w:left="218" w:leftChars="99" w:firstLine="480" w:firstLineChars="200"/>
        <w:jc w:val="both"/>
        <w:rPr>
          <w:rFonts w:ascii="仿宋" w:hAnsi="仿宋" w:eastAsia="仿宋" w:cs="Times New Roman"/>
          <w:sz w:val="24"/>
          <w:szCs w:val="24"/>
        </w:rPr>
      </w:pPr>
      <w:r>
        <w:rPr>
          <w:rFonts w:hint="eastAsia" w:ascii="仿宋" w:hAnsi="仿宋" w:eastAsia="仿宋" w:cs="Times New Roman"/>
          <w:sz w:val="24"/>
          <w:szCs w:val="24"/>
        </w:rPr>
        <w:t>②逾期送达的标书；</w:t>
      </w:r>
    </w:p>
    <w:p>
      <w:pPr>
        <w:tabs>
          <w:tab w:val="left" w:pos="1440"/>
        </w:tabs>
        <w:spacing w:after="0" w:line="360" w:lineRule="auto"/>
        <w:ind w:left="218" w:leftChars="99" w:firstLine="480" w:firstLineChars="200"/>
        <w:jc w:val="both"/>
        <w:rPr>
          <w:rFonts w:ascii="仿宋" w:hAnsi="仿宋" w:eastAsia="仿宋" w:cs="Times New Roman"/>
          <w:sz w:val="24"/>
          <w:szCs w:val="24"/>
        </w:rPr>
      </w:pPr>
      <w:r>
        <w:rPr>
          <w:rFonts w:hint="eastAsia" w:ascii="仿宋" w:hAnsi="仿宋" w:eastAsia="仿宋" w:cs="Times New Roman"/>
          <w:sz w:val="24"/>
          <w:szCs w:val="24"/>
        </w:rPr>
        <w:t>③无单位盖章并无法定代表人或法定代表人授权的代理人签字或盖章的；</w:t>
      </w:r>
    </w:p>
    <w:p>
      <w:pPr>
        <w:tabs>
          <w:tab w:val="left" w:pos="1440"/>
        </w:tabs>
        <w:spacing w:after="0" w:line="360" w:lineRule="auto"/>
        <w:ind w:left="218" w:leftChars="99" w:firstLine="480" w:firstLineChars="200"/>
        <w:jc w:val="both"/>
        <w:rPr>
          <w:rFonts w:ascii="仿宋" w:hAnsi="仿宋" w:eastAsia="仿宋" w:cs="Times New Roman"/>
          <w:sz w:val="24"/>
          <w:szCs w:val="24"/>
        </w:rPr>
      </w:pPr>
      <w:r>
        <w:rPr>
          <w:rFonts w:hint="eastAsia" w:ascii="仿宋" w:hAnsi="仿宋" w:eastAsia="仿宋" w:cs="Times New Roman"/>
          <w:sz w:val="24"/>
          <w:szCs w:val="24"/>
        </w:rPr>
        <w:t>④投标人的法定代表人或委托代理人不参加开标会议的；</w:t>
      </w:r>
    </w:p>
    <w:p>
      <w:pPr>
        <w:tabs>
          <w:tab w:val="left" w:pos="1440"/>
        </w:tabs>
        <w:spacing w:after="0" w:line="360" w:lineRule="auto"/>
        <w:ind w:left="218" w:leftChars="99" w:firstLine="480" w:firstLineChars="200"/>
        <w:jc w:val="both"/>
        <w:rPr>
          <w:rFonts w:ascii="仿宋" w:hAnsi="仿宋" w:eastAsia="仿宋" w:cs="Times New Roman"/>
          <w:sz w:val="24"/>
          <w:szCs w:val="24"/>
        </w:rPr>
      </w:pPr>
      <w:r>
        <w:rPr>
          <w:rFonts w:hint="eastAsia" w:ascii="仿宋" w:hAnsi="仿宋" w:eastAsia="仿宋" w:cs="Times New Roman"/>
          <w:sz w:val="24"/>
          <w:szCs w:val="24"/>
        </w:rPr>
        <w:t>⑤在评标过程中，评标委员会发现投标人以他人名义投标、串通投标、以行贿手段谋取中标或者以弄虚作假方式投标的；</w:t>
      </w:r>
    </w:p>
    <w:p>
      <w:pPr>
        <w:tabs>
          <w:tab w:val="left" w:pos="1440"/>
        </w:tabs>
        <w:spacing w:after="0" w:line="360" w:lineRule="auto"/>
        <w:ind w:left="218" w:leftChars="99" w:firstLine="480" w:firstLineChars="200"/>
        <w:jc w:val="both"/>
        <w:rPr>
          <w:rFonts w:ascii="仿宋" w:hAnsi="仿宋" w:eastAsia="仿宋" w:cs="Times New Roman"/>
          <w:sz w:val="24"/>
          <w:szCs w:val="24"/>
        </w:rPr>
      </w:pPr>
      <w:r>
        <w:rPr>
          <w:rFonts w:hint="eastAsia" w:ascii="仿宋" w:hAnsi="仿宋" w:eastAsia="仿宋" w:cs="Times New Roman"/>
          <w:sz w:val="24"/>
          <w:szCs w:val="24"/>
        </w:rPr>
        <w:t>⑥投标人递交两份或多份内容不同的投标文件，或在一份投标文件中对同一招标项目报有两个或多个报价，且未声明哪一个有效，按招标文件规定提交备选投标方案的除外；</w:t>
      </w:r>
    </w:p>
    <w:p>
      <w:pPr>
        <w:tabs>
          <w:tab w:val="left" w:pos="1440"/>
        </w:tabs>
        <w:spacing w:after="0" w:line="360" w:lineRule="auto"/>
        <w:ind w:left="218" w:leftChars="99" w:firstLine="480" w:firstLineChars="200"/>
        <w:jc w:val="both"/>
        <w:rPr>
          <w:rFonts w:ascii="仿宋" w:hAnsi="仿宋" w:eastAsia="仿宋" w:cs="Times New Roman"/>
          <w:sz w:val="24"/>
          <w:szCs w:val="24"/>
        </w:rPr>
      </w:pPr>
      <w:r>
        <w:rPr>
          <w:rFonts w:hint="eastAsia" w:ascii="仿宋" w:hAnsi="仿宋" w:eastAsia="仿宋" w:cs="Times New Roman"/>
          <w:sz w:val="24"/>
          <w:szCs w:val="24"/>
        </w:rPr>
        <w:t>⑦投标人资格条件不符合国家有关规定和招标文件的要求，或拒不按要求对投标文件进行澄清、说明或者补正的。</w:t>
      </w:r>
    </w:p>
    <w:p>
      <w:pPr>
        <w:spacing w:after="0" w:line="360" w:lineRule="auto"/>
        <w:ind w:firstLine="482" w:firstLineChars="200"/>
        <w:jc w:val="both"/>
        <w:rPr>
          <w:rFonts w:ascii="仿宋" w:hAnsi="仿宋" w:eastAsia="仿宋" w:cs="Times New Roman"/>
          <w:b/>
          <w:sz w:val="24"/>
          <w:szCs w:val="24"/>
        </w:rPr>
      </w:pPr>
      <w:r>
        <w:rPr>
          <w:rFonts w:hint="eastAsia" w:ascii="仿宋" w:hAnsi="仿宋" w:eastAsia="仿宋" w:cs="Times New Roman"/>
          <w:b/>
          <w:sz w:val="24"/>
          <w:szCs w:val="24"/>
        </w:rPr>
        <w:t>(4)</w:t>
      </w:r>
      <w:r>
        <w:rPr>
          <w:rFonts w:ascii="仿宋" w:hAnsi="仿宋" w:eastAsia="仿宋" w:cs="Times New Roman"/>
          <w:b/>
          <w:sz w:val="24"/>
          <w:szCs w:val="24"/>
        </w:rPr>
        <w:t>投标文件的澄清</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为了有助于对投标文件的检查和评审，发包人可以单独要求投标人澄清其投标文件。发包人的澄清要求和投标人的答复均应采用书面形式。投标人不得修改投标报价或投标文件中的其它实质性内容。经澄清的问题需由投标人签字确认后作为投标文件的组成部分。</w:t>
      </w:r>
    </w:p>
    <w:p>
      <w:pPr>
        <w:spacing w:after="0" w:line="360" w:lineRule="auto"/>
        <w:ind w:firstLine="482" w:firstLineChars="200"/>
        <w:jc w:val="both"/>
        <w:rPr>
          <w:rFonts w:ascii="仿宋" w:hAnsi="仿宋" w:eastAsia="仿宋" w:cs="Times New Roman"/>
          <w:b/>
          <w:sz w:val="24"/>
          <w:szCs w:val="24"/>
        </w:rPr>
      </w:pPr>
      <w:r>
        <w:rPr>
          <w:rFonts w:hint="eastAsia" w:ascii="仿宋" w:hAnsi="仿宋" w:eastAsia="仿宋" w:cs="Times New Roman"/>
          <w:b/>
          <w:sz w:val="24"/>
          <w:szCs w:val="24"/>
        </w:rPr>
        <w:t>(5)</w:t>
      </w:r>
      <w:r>
        <w:rPr>
          <w:rFonts w:ascii="仿宋" w:hAnsi="仿宋" w:eastAsia="仿宋" w:cs="Times New Roman"/>
          <w:b/>
          <w:sz w:val="24"/>
          <w:szCs w:val="24"/>
        </w:rPr>
        <w:t>算术错误的改正</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对实质上响应招标文件要求的投标文件，发包人将检查其报价是否有算术错误。对于算术错误，发包人有权要求投标人进行改正，改正错误的原则为：</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①《报价表》中任一项目的单价乘其工程量的乘积与该项目的合价不吻合时，应以单价为准，改正合价。但经发包人与投标人共同核对后认为单价有明显的小数点错位时，则应以合价为准，改正单价。</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②若投标报价总表中的金额与相应的各分项报价表中的合计金额不吻合时，应以修正算术错误后的各分项报价表中的合计金额为准，改正投标报价汇总表中相应部分的金额和投标总报价。</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③用数字表示的数额与用文字表示的数额不一致时，以文字数额为准。</w:t>
      </w:r>
    </w:p>
    <w:p>
      <w:pPr>
        <w:spacing w:after="0" w:line="360" w:lineRule="auto"/>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发包人将按上述规定的原则，要求投标人改正报价中的算术错误，改正后的投标报价汇总表须经发包人和投标人共同确认。</w:t>
      </w:r>
    </w:p>
    <w:p>
      <w:pPr>
        <w:rPr>
          <w:rFonts w:ascii="仿宋" w:hAnsi="仿宋" w:eastAsia="仿宋" w:cs="Times New Roman"/>
          <w:sz w:val="24"/>
          <w:szCs w:val="24"/>
        </w:rPr>
      </w:pPr>
      <w:r>
        <w:rPr>
          <w:rFonts w:hint="eastAsia" w:ascii="仿宋" w:hAnsi="仿宋" w:eastAsia="仿宋" w:cs="Times New Roman"/>
          <w:sz w:val="24"/>
          <w:szCs w:val="24"/>
        </w:rPr>
        <w:t>（三）详细评审（</w:t>
      </w:r>
      <w:r>
        <w:rPr>
          <w:rFonts w:ascii="仿宋" w:hAnsi="仿宋" w:eastAsia="仿宋" w:cs="Times New Roman"/>
          <w:sz w:val="24"/>
          <w:szCs w:val="24"/>
        </w:rPr>
        <w:t>综合评分</w:t>
      </w:r>
      <w:r>
        <w:rPr>
          <w:rFonts w:hint="eastAsia" w:ascii="仿宋" w:hAnsi="仿宋" w:eastAsia="仿宋" w:cs="Times New Roman"/>
          <w:sz w:val="24"/>
          <w:szCs w:val="24"/>
        </w:rPr>
        <w:t>）</w:t>
      </w:r>
    </w:p>
    <w:p>
      <w:pPr>
        <w:spacing w:after="0" w:line="360" w:lineRule="auto"/>
        <w:ind w:firstLine="480" w:firstLineChars="200"/>
        <w:jc w:val="both"/>
        <w:rPr>
          <w:rFonts w:ascii="宋体" w:hAnsi="宋体" w:cs="Times New Roman"/>
          <w:sz w:val="24"/>
        </w:rPr>
      </w:pPr>
      <w:r>
        <w:rPr>
          <w:rFonts w:ascii="仿宋" w:hAnsi="仿宋" w:eastAsia="仿宋" w:cs="Times New Roman"/>
          <w:sz w:val="24"/>
          <w:szCs w:val="24"/>
        </w:rPr>
        <w:t>本次评标采用综合评分法，总分100分。其中</w:t>
      </w:r>
      <w:r>
        <w:rPr>
          <w:rFonts w:hint="eastAsia" w:ascii="仿宋" w:hAnsi="仿宋" w:eastAsia="仿宋" w:cs="Times New Roman"/>
          <w:sz w:val="24"/>
          <w:szCs w:val="24"/>
        </w:rPr>
        <w:t>综合标30</w:t>
      </w:r>
      <w:r>
        <w:rPr>
          <w:rFonts w:ascii="仿宋" w:hAnsi="仿宋" w:eastAsia="仿宋" w:cs="Times New Roman"/>
          <w:sz w:val="24"/>
          <w:szCs w:val="24"/>
        </w:rPr>
        <w:t>分，技术</w:t>
      </w:r>
      <w:r>
        <w:rPr>
          <w:rFonts w:hint="eastAsia" w:ascii="仿宋" w:hAnsi="仿宋" w:eastAsia="仿宋" w:cs="Times New Roman"/>
          <w:sz w:val="24"/>
          <w:szCs w:val="24"/>
        </w:rPr>
        <w:t>标4</w:t>
      </w:r>
      <w:r>
        <w:rPr>
          <w:rFonts w:ascii="仿宋" w:hAnsi="仿宋" w:eastAsia="仿宋" w:cs="Times New Roman"/>
          <w:sz w:val="24"/>
          <w:szCs w:val="24"/>
        </w:rPr>
        <w:t>0分，投标报价</w:t>
      </w:r>
      <w:r>
        <w:rPr>
          <w:rFonts w:hint="eastAsia" w:ascii="仿宋" w:hAnsi="仿宋" w:eastAsia="仿宋" w:cs="Times New Roman"/>
          <w:sz w:val="24"/>
          <w:szCs w:val="24"/>
        </w:rPr>
        <w:t>30</w:t>
      </w:r>
      <w:r>
        <w:rPr>
          <w:rFonts w:ascii="仿宋" w:hAnsi="仿宋" w:eastAsia="仿宋" w:cs="Times New Roman"/>
          <w:sz w:val="24"/>
          <w:szCs w:val="24"/>
        </w:rPr>
        <w:t xml:space="preserve">分 </w:t>
      </w:r>
    </w:p>
    <w:tbl>
      <w:tblPr>
        <w:tblStyle w:val="25"/>
        <w:tblW w:w="9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96"/>
        <w:gridCol w:w="851"/>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75" w:type="dxa"/>
            <w:tcBorders>
              <w:top w:val="single" w:color="auto" w:sz="4" w:space="0"/>
              <w:left w:val="single" w:color="auto" w:sz="4" w:space="0"/>
              <w:right w:val="single" w:color="auto" w:sz="4" w:space="0"/>
            </w:tcBorders>
            <w:vAlign w:val="center"/>
          </w:tcPr>
          <w:p>
            <w:pPr>
              <w:spacing w:line="320" w:lineRule="exact"/>
              <w:ind w:left="-57" w:right="-57"/>
              <w:jc w:val="center"/>
              <w:rPr>
                <w:rFonts w:ascii="仿宋" w:hAnsi="仿宋" w:eastAsia="仿宋" w:cs="Times New Roman"/>
                <w:b/>
                <w:sz w:val="18"/>
                <w:szCs w:val="18"/>
              </w:rPr>
            </w:pPr>
            <w:r>
              <w:rPr>
                <w:rFonts w:hint="eastAsia" w:ascii="仿宋" w:hAnsi="仿宋" w:eastAsia="仿宋" w:cs="Times New Roman"/>
                <w:b/>
                <w:sz w:val="18"/>
                <w:szCs w:val="18"/>
              </w:rPr>
              <w:t>序号</w:t>
            </w:r>
          </w:p>
        </w:tc>
        <w:tc>
          <w:tcPr>
            <w:tcW w:w="1696" w:type="dxa"/>
            <w:tcBorders>
              <w:top w:val="single" w:color="auto" w:sz="4" w:space="0"/>
              <w:left w:val="single" w:color="auto" w:sz="4" w:space="0"/>
              <w:right w:val="single" w:color="auto" w:sz="4" w:space="0"/>
            </w:tcBorders>
            <w:vAlign w:val="center"/>
          </w:tcPr>
          <w:p>
            <w:pPr>
              <w:spacing w:line="320" w:lineRule="exact"/>
              <w:rPr>
                <w:rFonts w:ascii="仿宋" w:hAnsi="仿宋" w:eastAsia="仿宋" w:cs="Times New Roman"/>
                <w:b/>
                <w:sz w:val="18"/>
                <w:szCs w:val="18"/>
              </w:rPr>
            </w:pPr>
            <w:r>
              <w:rPr>
                <w:rFonts w:hint="eastAsia" w:ascii="仿宋" w:hAnsi="仿宋" w:eastAsia="仿宋" w:cs="Times New Roman"/>
                <w:b/>
                <w:sz w:val="18"/>
                <w:szCs w:val="18"/>
              </w:rPr>
              <w:t>评分项目</w:t>
            </w:r>
          </w:p>
        </w:tc>
        <w:tc>
          <w:tcPr>
            <w:tcW w:w="851" w:type="dxa"/>
            <w:tcBorders>
              <w:top w:val="single" w:color="auto" w:sz="4" w:space="0"/>
              <w:left w:val="single" w:color="auto" w:sz="4" w:space="0"/>
              <w:right w:val="single" w:color="auto" w:sz="4" w:space="0"/>
            </w:tcBorders>
            <w:vAlign w:val="center"/>
          </w:tcPr>
          <w:p>
            <w:pPr>
              <w:spacing w:line="320" w:lineRule="exact"/>
              <w:ind w:left="-57" w:right="-57"/>
              <w:jc w:val="center"/>
              <w:rPr>
                <w:rFonts w:ascii="仿宋" w:hAnsi="仿宋" w:eastAsia="仿宋" w:cs="Times New Roman"/>
                <w:b/>
                <w:sz w:val="18"/>
                <w:szCs w:val="18"/>
              </w:rPr>
            </w:pPr>
            <w:r>
              <w:rPr>
                <w:rFonts w:hint="eastAsia" w:ascii="仿宋" w:hAnsi="仿宋" w:eastAsia="仿宋" w:cs="Times New Roman"/>
                <w:b/>
                <w:sz w:val="18"/>
                <w:szCs w:val="18"/>
              </w:rPr>
              <w:t>分值</w:t>
            </w:r>
          </w:p>
        </w:tc>
        <w:tc>
          <w:tcPr>
            <w:tcW w:w="6423"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b/>
                <w:sz w:val="18"/>
                <w:szCs w:val="18"/>
              </w:rPr>
            </w:pPr>
            <w:r>
              <w:rPr>
                <w:rFonts w:hint="eastAsia" w:ascii="仿宋" w:hAnsi="仿宋" w:eastAsia="仿宋" w:cs="Times New Roman"/>
                <w:b/>
                <w:sz w:val="18"/>
                <w:szCs w:val="1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75" w:type="dxa"/>
            <w:vMerge w:val="restart"/>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1、综合评分30分</w:t>
            </w:r>
          </w:p>
          <w:p>
            <w:pPr>
              <w:spacing w:line="320" w:lineRule="exact"/>
              <w:jc w:val="center"/>
              <w:rPr>
                <w:rFonts w:ascii="仿宋" w:hAnsi="仿宋" w:eastAsia="仿宋" w:cs="Times New Roman"/>
                <w:sz w:val="18"/>
                <w:szCs w:val="18"/>
              </w:rPr>
            </w:pPr>
          </w:p>
        </w:tc>
        <w:tc>
          <w:tcPr>
            <w:tcW w:w="1696" w:type="dxa"/>
            <w:tcBorders>
              <w:top w:val="single" w:color="auto" w:sz="4" w:space="0"/>
              <w:left w:val="single" w:color="auto" w:sz="4" w:space="0"/>
              <w:right w:val="single" w:color="auto" w:sz="4" w:space="0"/>
            </w:tcBorders>
            <w:vAlign w:val="center"/>
          </w:tcPr>
          <w:p>
            <w:pPr>
              <w:spacing w:line="320" w:lineRule="exact"/>
              <w:ind w:left="-57" w:right="-57"/>
              <w:jc w:val="center"/>
              <w:rPr>
                <w:rFonts w:ascii="仿宋" w:hAnsi="仿宋" w:eastAsia="仿宋" w:cs="Times New Roman"/>
                <w:kern w:val="24"/>
                <w:sz w:val="18"/>
                <w:szCs w:val="18"/>
              </w:rPr>
            </w:pPr>
            <w:r>
              <w:rPr>
                <w:rFonts w:hint="eastAsia" w:ascii="仿宋" w:hAnsi="仿宋" w:eastAsia="仿宋" w:cs="Times New Roman"/>
                <w:kern w:val="24"/>
                <w:sz w:val="18"/>
                <w:szCs w:val="18"/>
              </w:rPr>
              <w:t>企业业绩</w:t>
            </w:r>
          </w:p>
        </w:tc>
        <w:tc>
          <w:tcPr>
            <w:tcW w:w="851" w:type="dxa"/>
            <w:tcBorders>
              <w:top w:val="single" w:color="auto" w:sz="4" w:space="0"/>
              <w:left w:val="single" w:color="auto" w:sz="4" w:space="0"/>
              <w:right w:val="single" w:color="auto" w:sz="4" w:space="0"/>
            </w:tcBorders>
            <w:vAlign w:val="center"/>
          </w:tcPr>
          <w:p>
            <w:pPr>
              <w:spacing w:line="320" w:lineRule="exact"/>
              <w:ind w:firstLine="90" w:firstLineChars="50"/>
              <w:rPr>
                <w:rFonts w:ascii="仿宋" w:hAnsi="仿宋" w:eastAsia="仿宋" w:cs="Times New Roman"/>
                <w:kern w:val="24"/>
                <w:sz w:val="18"/>
                <w:szCs w:val="18"/>
              </w:rPr>
            </w:pPr>
            <w:r>
              <w:rPr>
                <w:rFonts w:hint="eastAsia" w:ascii="仿宋" w:hAnsi="仿宋" w:eastAsia="仿宋" w:cs="Times New Roman"/>
                <w:kern w:val="24"/>
                <w:sz w:val="18"/>
                <w:szCs w:val="18"/>
              </w:rPr>
              <w:t>10分</w:t>
            </w:r>
          </w:p>
        </w:tc>
        <w:tc>
          <w:tcPr>
            <w:tcW w:w="6423" w:type="dxa"/>
            <w:tcBorders>
              <w:top w:val="single" w:color="auto" w:sz="4" w:space="0"/>
              <w:left w:val="single" w:color="auto" w:sz="4" w:space="0"/>
              <w:right w:val="single" w:color="auto" w:sz="4" w:space="0"/>
            </w:tcBorders>
          </w:tcPr>
          <w:p>
            <w:pPr>
              <w:spacing w:after="0" w:line="360" w:lineRule="auto"/>
              <w:jc w:val="both"/>
              <w:rPr>
                <w:rFonts w:ascii="仿宋" w:hAnsi="仿宋" w:eastAsia="仿宋" w:cs="Times New Roman"/>
                <w:kern w:val="24"/>
                <w:sz w:val="18"/>
                <w:szCs w:val="18"/>
              </w:rPr>
            </w:pPr>
            <w:r>
              <w:rPr>
                <w:rFonts w:hint="eastAsia" w:ascii="仿宋" w:hAnsi="仿宋" w:eastAsia="仿宋" w:cs="Times New Roman"/>
                <w:kern w:val="24"/>
                <w:sz w:val="18"/>
                <w:szCs w:val="18"/>
              </w:rPr>
              <w:t>投标人近三年内有一项类似项目业绩得4分，</w:t>
            </w:r>
            <w:r>
              <w:rPr>
                <w:rFonts w:hint="eastAsia" w:ascii="仿宋" w:hAnsi="仿宋" w:eastAsia="仿宋" w:cs="Times New Roman"/>
                <w:sz w:val="18"/>
                <w:szCs w:val="18"/>
              </w:rPr>
              <w:t>具有类似项目每多一项加3分，最多加6分（类似项目是指地质灾害治理工程勘察和设计必须同时有一项，加分项不分勘察和设计）。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675" w:type="dxa"/>
            <w:vMerge w:val="continue"/>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p>
        </w:tc>
        <w:tc>
          <w:tcPr>
            <w:tcW w:w="1696"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项目负责人</w:t>
            </w:r>
          </w:p>
        </w:tc>
        <w:tc>
          <w:tcPr>
            <w:tcW w:w="85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10分</w:t>
            </w:r>
          </w:p>
        </w:tc>
        <w:tc>
          <w:tcPr>
            <w:tcW w:w="6423" w:type="dxa"/>
            <w:tcBorders>
              <w:top w:val="single" w:color="auto" w:sz="4" w:space="0"/>
              <w:left w:val="single" w:color="auto" w:sz="4" w:space="0"/>
              <w:right w:val="single" w:color="auto" w:sz="4" w:space="0"/>
            </w:tcBorders>
          </w:tcPr>
          <w:p>
            <w:pPr>
              <w:spacing w:after="0" w:line="360" w:lineRule="auto"/>
              <w:jc w:val="both"/>
              <w:rPr>
                <w:rFonts w:ascii="仿宋" w:hAnsi="仿宋" w:eastAsia="仿宋" w:cs="Times New Roman"/>
                <w:sz w:val="18"/>
                <w:szCs w:val="18"/>
              </w:rPr>
            </w:pPr>
            <w:r>
              <w:rPr>
                <w:rFonts w:hint="eastAsia" w:ascii="仿宋" w:hAnsi="仿宋" w:eastAsia="仿宋" w:cs="Times New Roman"/>
                <w:sz w:val="18"/>
                <w:szCs w:val="18"/>
              </w:rPr>
              <w:t>项目负责人近三年内有一个类似项目经验，得4分，具有类似项目每多一项加3分，最多加6分（类似项目是指地质灾害治理工程勘察和设计必须同时有一项，加分项不分勘察和设计）。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jc w:val="center"/>
        </w:trPr>
        <w:tc>
          <w:tcPr>
            <w:tcW w:w="675" w:type="dxa"/>
            <w:vMerge w:val="continue"/>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p>
        </w:tc>
        <w:tc>
          <w:tcPr>
            <w:tcW w:w="1696" w:type="dxa"/>
            <w:tcBorders>
              <w:top w:val="single" w:color="auto" w:sz="4" w:space="0"/>
              <w:left w:val="single" w:color="auto" w:sz="4" w:space="0"/>
              <w:right w:val="single" w:color="auto" w:sz="4" w:space="0"/>
            </w:tcBorders>
            <w:vAlign w:val="center"/>
          </w:tcPr>
          <w:p>
            <w:pPr>
              <w:spacing w:line="320" w:lineRule="exact"/>
              <w:rPr>
                <w:rFonts w:ascii="仿宋" w:hAnsi="仿宋" w:eastAsia="仿宋" w:cs="Times New Roman"/>
                <w:sz w:val="18"/>
                <w:szCs w:val="18"/>
              </w:rPr>
            </w:pPr>
            <w:r>
              <w:rPr>
                <w:rFonts w:hint="eastAsia" w:ascii="仿宋" w:hAnsi="仿宋" w:eastAsia="仿宋" w:cs="Times New Roman"/>
                <w:sz w:val="18"/>
                <w:szCs w:val="18"/>
              </w:rPr>
              <w:t>主要专业人员配备</w:t>
            </w:r>
          </w:p>
        </w:tc>
        <w:tc>
          <w:tcPr>
            <w:tcW w:w="85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10分</w:t>
            </w:r>
          </w:p>
        </w:tc>
        <w:tc>
          <w:tcPr>
            <w:tcW w:w="6423" w:type="dxa"/>
            <w:tcBorders>
              <w:top w:val="single" w:color="auto" w:sz="4" w:space="0"/>
              <w:left w:val="single" w:color="auto" w:sz="4" w:space="0"/>
              <w:right w:val="single" w:color="auto" w:sz="4" w:space="0"/>
            </w:tcBorders>
          </w:tcPr>
          <w:p>
            <w:pPr>
              <w:spacing w:after="0" w:line="360" w:lineRule="auto"/>
              <w:jc w:val="both"/>
              <w:rPr>
                <w:rFonts w:ascii="仿宋" w:hAnsi="仿宋" w:eastAsia="仿宋" w:cs="Times New Roman"/>
                <w:sz w:val="18"/>
                <w:szCs w:val="18"/>
              </w:rPr>
            </w:pPr>
            <w:r>
              <w:rPr>
                <w:rFonts w:hint="eastAsia" w:ascii="仿宋" w:hAnsi="仿宋" w:eastAsia="仿宋" w:cs="Times New Roman"/>
                <w:sz w:val="18"/>
                <w:szCs w:val="18"/>
              </w:rPr>
              <w:t>主要专业人员配备齐全且近三年内有类似项目经验5-10分；近三年内无类似项目经验0分。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675" w:type="dxa"/>
            <w:vMerge w:val="restart"/>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 xml:space="preserve"> 2、</w:t>
            </w:r>
          </w:p>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技</w:t>
            </w:r>
          </w:p>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术</w:t>
            </w:r>
          </w:p>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评</w:t>
            </w:r>
          </w:p>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审</w:t>
            </w:r>
          </w:p>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4</w:t>
            </w:r>
            <w:r>
              <w:rPr>
                <w:rFonts w:ascii="仿宋" w:hAnsi="仿宋" w:eastAsia="仿宋" w:cs="Times New Roman"/>
                <w:sz w:val="18"/>
                <w:szCs w:val="18"/>
              </w:rPr>
              <w:t>0</w:t>
            </w:r>
            <w:r>
              <w:rPr>
                <w:rFonts w:hint="eastAsia" w:ascii="仿宋" w:hAnsi="仿宋" w:eastAsia="仿宋" w:cs="Times New Roman"/>
                <w:sz w:val="18"/>
                <w:szCs w:val="18"/>
              </w:rPr>
              <w:t>分</w:t>
            </w:r>
          </w:p>
        </w:tc>
        <w:tc>
          <w:tcPr>
            <w:tcW w:w="1696"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勘察设计方案</w:t>
            </w:r>
          </w:p>
        </w:tc>
        <w:tc>
          <w:tcPr>
            <w:tcW w:w="85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10分</w:t>
            </w:r>
          </w:p>
        </w:tc>
        <w:tc>
          <w:tcPr>
            <w:tcW w:w="6423" w:type="dxa"/>
            <w:tcBorders>
              <w:top w:val="single" w:color="auto" w:sz="4" w:space="0"/>
              <w:left w:val="single" w:color="auto" w:sz="4" w:space="0"/>
              <w:right w:val="single" w:color="auto" w:sz="4" w:space="0"/>
            </w:tcBorders>
          </w:tcPr>
          <w:p>
            <w:pPr>
              <w:spacing w:after="0" w:line="360" w:lineRule="auto"/>
              <w:jc w:val="both"/>
              <w:rPr>
                <w:rFonts w:ascii="仿宋" w:hAnsi="仿宋" w:eastAsia="仿宋" w:cs="Times New Roman"/>
                <w:sz w:val="18"/>
                <w:szCs w:val="18"/>
              </w:rPr>
            </w:pPr>
            <w:r>
              <w:rPr>
                <w:rFonts w:hint="eastAsia" w:ascii="仿宋" w:hAnsi="仿宋" w:eastAsia="仿宋"/>
                <w:sz w:val="18"/>
                <w:szCs w:val="18"/>
              </w:rPr>
              <w:t>按针对性、合理性、完整性酌情0-10分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75" w:type="dxa"/>
            <w:vMerge w:val="continue"/>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p>
        </w:tc>
        <w:tc>
          <w:tcPr>
            <w:tcW w:w="1696"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勘察设计进度安排及保障措施</w:t>
            </w:r>
          </w:p>
        </w:tc>
        <w:tc>
          <w:tcPr>
            <w:tcW w:w="85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5分</w:t>
            </w:r>
          </w:p>
        </w:tc>
        <w:tc>
          <w:tcPr>
            <w:tcW w:w="6423" w:type="dxa"/>
            <w:tcBorders>
              <w:top w:val="single" w:color="auto" w:sz="4" w:space="0"/>
              <w:left w:val="single" w:color="auto" w:sz="4" w:space="0"/>
              <w:right w:val="single" w:color="auto" w:sz="4" w:space="0"/>
            </w:tcBorders>
          </w:tcPr>
          <w:p>
            <w:pPr>
              <w:spacing w:after="0" w:line="360" w:lineRule="auto"/>
              <w:jc w:val="both"/>
              <w:rPr>
                <w:rFonts w:ascii="仿宋" w:hAnsi="仿宋" w:eastAsia="仿宋" w:cs="Times New Roman"/>
                <w:sz w:val="18"/>
                <w:szCs w:val="18"/>
              </w:rPr>
            </w:pPr>
            <w:r>
              <w:rPr>
                <w:rFonts w:hint="eastAsia" w:ascii="仿宋" w:hAnsi="仿宋" w:eastAsia="仿宋"/>
                <w:sz w:val="18"/>
                <w:szCs w:val="18"/>
              </w:rPr>
              <w:t>按针对性、合理性、完整性酌情0-5分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675" w:type="dxa"/>
            <w:vMerge w:val="continue"/>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p>
        </w:tc>
        <w:tc>
          <w:tcPr>
            <w:tcW w:w="1696" w:type="dxa"/>
            <w:tcBorders>
              <w:top w:val="single" w:color="auto" w:sz="4" w:space="0"/>
              <w:left w:val="single" w:color="auto" w:sz="4" w:space="0"/>
              <w:right w:val="single" w:color="auto" w:sz="4" w:space="0"/>
            </w:tcBorders>
            <w:vAlign w:val="center"/>
          </w:tcPr>
          <w:p>
            <w:pPr>
              <w:jc w:val="center"/>
              <w:rPr>
                <w:rFonts w:ascii="仿宋" w:hAnsi="仿宋" w:eastAsia="仿宋" w:cs="Times New Roman"/>
                <w:sz w:val="18"/>
                <w:szCs w:val="18"/>
              </w:rPr>
            </w:pPr>
            <w:r>
              <w:rPr>
                <w:rFonts w:hint="eastAsia" w:ascii="仿宋" w:hAnsi="仿宋" w:eastAsia="仿宋" w:cs="Times New Roman"/>
                <w:sz w:val="18"/>
                <w:szCs w:val="18"/>
              </w:rPr>
              <w:t>勘察设计质量保证措施</w:t>
            </w:r>
          </w:p>
        </w:tc>
        <w:tc>
          <w:tcPr>
            <w:tcW w:w="85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5分</w:t>
            </w:r>
          </w:p>
        </w:tc>
        <w:tc>
          <w:tcPr>
            <w:tcW w:w="6423" w:type="dxa"/>
            <w:tcBorders>
              <w:top w:val="single" w:color="auto" w:sz="4" w:space="0"/>
              <w:left w:val="single" w:color="auto" w:sz="4" w:space="0"/>
              <w:right w:val="single" w:color="auto" w:sz="4" w:space="0"/>
            </w:tcBorders>
            <w:vAlign w:val="center"/>
          </w:tcPr>
          <w:p>
            <w:pPr>
              <w:spacing w:after="0" w:line="360" w:lineRule="auto"/>
              <w:jc w:val="both"/>
              <w:rPr>
                <w:rFonts w:ascii="仿宋" w:hAnsi="仿宋" w:eastAsia="仿宋" w:cs="Times New Roman"/>
                <w:sz w:val="18"/>
                <w:szCs w:val="18"/>
              </w:rPr>
            </w:pPr>
            <w:r>
              <w:rPr>
                <w:rFonts w:hint="eastAsia" w:ascii="仿宋" w:hAnsi="仿宋" w:eastAsia="仿宋"/>
                <w:sz w:val="18"/>
                <w:szCs w:val="18"/>
              </w:rPr>
              <w:t>按针对性、合理性、完整性酌情0-5分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75" w:type="dxa"/>
            <w:vMerge w:val="continue"/>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p>
        </w:tc>
        <w:tc>
          <w:tcPr>
            <w:tcW w:w="1696" w:type="dxa"/>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确保勘察活动安全的措施</w:t>
            </w:r>
          </w:p>
        </w:tc>
        <w:tc>
          <w:tcPr>
            <w:tcW w:w="85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5分</w:t>
            </w:r>
          </w:p>
        </w:tc>
        <w:tc>
          <w:tcPr>
            <w:tcW w:w="6423" w:type="dxa"/>
            <w:tcBorders>
              <w:top w:val="single" w:color="auto" w:sz="4" w:space="0"/>
              <w:left w:val="single" w:color="auto" w:sz="4" w:space="0"/>
              <w:right w:val="single" w:color="auto" w:sz="4" w:space="0"/>
            </w:tcBorders>
            <w:vAlign w:val="center"/>
          </w:tcPr>
          <w:p>
            <w:pPr>
              <w:spacing w:after="0" w:line="360" w:lineRule="auto"/>
              <w:jc w:val="both"/>
              <w:rPr>
                <w:rFonts w:ascii="仿宋" w:hAnsi="仿宋" w:eastAsia="仿宋"/>
                <w:sz w:val="18"/>
                <w:szCs w:val="18"/>
              </w:rPr>
            </w:pPr>
            <w:r>
              <w:rPr>
                <w:rFonts w:hint="eastAsia" w:ascii="仿宋" w:hAnsi="仿宋" w:eastAsia="仿宋"/>
                <w:sz w:val="18"/>
                <w:szCs w:val="18"/>
              </w:rPr>
              <w:t>按针对性、合理性、完整性酌情0-5分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75" w:type="dxa"/>
            <w:vMerge w:val="continue"/>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p>
        </w:tc>
        <w:tc>
          <w:tcPr>
            <w:tcW w:w="1696" w:type="dxa"/>
            <w:tcBorders>
              <w:left w:val="single" w:color="auto" w:sz="4" w:space="0"/>
              <w:right w:val="single" w:color="auto" w:sz="4" w:space="0"/>
            </w:tcBorders>
            <w:vAlign w:val="center"/>
          </w:tcPr>
          <w:p>
            <w:pPr>
              <w:spacing w:line="320" w:lineRule="exact"/>
              <w:rPr>
                <w:rFonts w:ascii="仿宋" w:hAnsi="仿宋" w:eastAsia="仿宋" w:cs="Times New Roman"/>
                <w:sz w:val="18"/>
                <w:szCs w:val="18"/>
              </w:rPr>
            </w:pPr>
            <w:r>
              <w:rPr>
                <w:rFonts w:hint="eastAsia" w:ascii="仿宋" w:hAnsi="仿宋" w:eastAsia="仿宋" w:cs="Times New Roman"/>
                <w:sz w:val="18"/>
                <w:szCs w:val="18"/>
              </w:rPr>
              <w:t>拟投入的勘察机具设备</w:t>
            </w:r>
          </w:p>
        </w:tc>
        <w:tc>
          <w:tcPr>
            <w:tcW w:w="851" w:type="dxa"/>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5分</w:t>
            </w:r>
          </w:p>
        </w:tc>
        <w:tc>
          <w:tcPr>
            <w:tcW w:w="6423" w:type="dxa"/>
            <w:tcBorders>
              <w:top w:val="single" w:color="auto" w:sz="4" w:space="0"/>
              <w:left w:val="single" w:color="auto" w:sz="4" w:space="0"/>
              <w:right w:val="single" w:color="auto" w:sz="4" w:space="0"/>
            </w:tcBorders>
            <w:vAlign w:val="center"/>
          </w:tcPr>
          <w:p>
            <w:pPr>
              <w:spacing w:after="0" w:line="360" w:lineRule="auto"/>
              <w:jc w:val="both"/>
              <w:rPr>
                <w:rFonts w:ascii="仿宋" w:hAnsi="仿宋" w:eastAsia="仿宋" w:cs="Times New Roman"/>
                <w:sz w:val="18"/>
                <w:szCs w:val="18"/>
              </w:rPr>
            </w:pPr>
            <w:r>
              <w:rPr>
                <w:rFonts w:hint="eastAsia" w:ascii="仿宋" w:hAnsi="仿宋" w:eastAsia="仿宋"/>
                <w:sz w:val="18"/>
                <w:szCs w:val="18"/>
              </w:rPr>
              <w:t>按针对性、合理性、完整性酌情0-5分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675" w:type="dxa"/>
            <w:vMerge w:val="continue"/>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p>
        </w:tc>
        <w:tc>
          <w:tcPr>
            <w:tcW w:w="1696" w:type="dxa"/>
            <w:tcBorders>
              <w:left w:val="single" w:color="auto" w:sz="4" w:space="0"/>
              <w:right w:val="single" w:color="auto" w:sz="4" w:space="0"/>
            </w:tcBorders>
            <w:vAlign w:val="center"/>
          </w:tcPr>
          <w:p>
            <w:pPr>
              <w:spacing w:line="320" w:lineRule="exact"/>
              <w:rPr>
                <w:rFonts w:ascii="仿宋" w:hAnsi="仿宋" w:eastAsia="仿宋" w:cs="Times New Roman"/>
                <w:sz w:val="18"/>
                <w:szCs w:val="18"/>
              </w:rPr>
            </w:pPr>
            <w:r>
              <w:rPr>
                <w:rFonts w:hint="eastAsia" w:ascii="仿宋" w:hAnsi="仿宋" w:eastAsia="仿宋" w:cs="Times New Roman"/>
                <w:sz w:val="18"/>
                <w:szCs w:val="18"/>
              </w:rPr>
              <w:t>施工期间配合服务安排及措施</w:t>
            </w:r>
          </w:p>
        </w:tc>
        <w:tc>
          <w:tcPr>
            <w:tcW w:w="851" w:type="dxa"/>
            <w:tcBorders>
              <w:left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10分</w:t>
            </w:r>
          </w:p>
        </w:tc>
        <w:tc>
          <w:tcPr>
            <w:tcW w:w="6423" w:type="dxa"/>
            <w:tcBorders>
              <w:top w:val="single" w:color="auto" w:sz="4" w:space="0"/>
              <w:left w:val="single" w:color="auto" w:sz="4" w:space="0"/>
              <w:right w:val="single" w:color="auto" w:sz="4" w:space="0"/>
            </w:tcBorders>
            <w:vAlign w:val="center"/>
          </w:tcPr>
          <w:p>
            <w:pPr>
              <w:spacing w:after="0" w:line="360" w:lineRule="auto"/>
              <w:jc w:val="both"/>
              <w:rPr>
                <w:rFonts w:ascii="仿宋" w:hAnsi="仿宋" w:eastAsia="仿宋"/>
                <w:sz w:val="18"/>
                <w:szCs w:val="18"/>
              </w:rPr>
            </w:pPr>
            <w:r>
              <w:rPr>
                <w:rFonts w:hint="eastAsia" w:ascii="仿宋" w:hAnsi="仿宋" w:eastAsia="仿宋"/>
                <w:sz w:val="18"/>
                <w:szCs w:val="18"/>
              </w:rPr>
              <w:t>按针对性、合理性、完整性酌情0-5分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37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Times New Roman"/>
                <w:sz w:val="18"/>
                <w:szCs w:val="18"/>
              </w:rPr>
            </w:pPr>
            <w:r>
              <w:rPr>
                <w:rFonts w:hint="eastAsia" w:ascii="仿宋" w:hAnsi="仿宋" w:eastAsia="仿宋" w:cs="Times New Roman"/>
                <w:sz w:val="18"/>
                <w:szCs w:val="18"/>
              </w:rPr>
              <w:t>3、投标报价</w:t>
            </w:r>
            <w:r>
              <w:rPr>
                <w:rFonts w:ascii="仿宋" w:hAnsi="仿宋" w:eastAsia="仿宋" w:cs="Times New Roman"/>
                <w:sz w:val="18"/>
                <w:szCs w:val="18"/>
              </w:rPr>
              <w:br w:type="textWrapping"/>
            </w:r>
            <w:r>
              <w:rPr>
                <w:rFonts w:hint="eastAsia" w:ascii="仿宋" w:hAnsi="仿宋" w:eastAsia="仿宋" w:cs="Times New Roman"/>
                <w:sz w:val="18"/>
                <w:szCs w:val="18"/>
              </w:rPr>
              <w:t>30分</w:t>
            </w:r>
          </w:p>
        </w:tc>
        <w:tc>
          <w:tcPr>
            <w:tcW w:w="7274" w:type="dxa"/>
            <w:gridSpan w:val="2"/>
            <w:tcBorders>
              <w:top w:val="single" w:color="auto" w:sz="4" w:space="0"/>
              <w:left w:val="single" w:color="auto" w:sz="4" w:space="0"/>
              <w:bottom w:val="single" w:color="auto" w:sz="4" w:space="0"/>
              <w:right w:val="single" w:color="auto" w:sz="4" w:space="0"/>
            </w:tcBorders>
            <w:vAlign w:val="center"/>
          </w:tcPr>
          <w:p>
            <w:pPr>
              <w:pStyle w:val="30"/>
              <w:spacing w:line="400" w:lineRule="exact"/>
              <w:jc w:val="left"/>
              <w:rPr>
                <w:rFonts w:ascii="仿宋" w:hAnsi="仿宋" w:eastAsia="仿宋"/>
                <w:sz w:val="18"/>
                <w:szCs w:val="18"/>
              </w:rPr>
            </w:pPr>
            <w:r>
              <w:rPr>
                <w:rFonts w:hint="eastAsia" w:ascii="仿宋" w:hAnsi="仿宋" w:eastAsia="仿宋"/>
                <w:sz w:val="18"/>
                <w:szCs w:val="18"/>
              </w:rPr>
              <w:t>评标基准价的计算：</w:t>
            </w:r>
          </w:p>
          <w:p>
            <w:pPr>
              <w:spacing w:after="0" w:line="400" w:lineRule="exact"/>
              <w:ind w:firstLine="360" w:firstLineChars="200"/>
              <w:rPr>
                <w:rFonts w:ascii="仿宋" w:hAnsi="仿宋" w:eastAsia="仿宋" w:cs="Times New Roman"/>
                <w:sz w:val="18"/>
                <w:szCs w:val="18"/>
              </w:rPr>
            </w:pPr>
            <w:r>
              <w:rPr>
                <w:rFonts w:hint="eastAsia" w:ascii="仿宋" w:hAnsi="仿宋" w:eastAsia="仿宋" w:cs="Times New Roman"/>
                <w:sz w:val="18"/>
                <w:szCs w:val="18"/>
              </w:rPr>
              <w:t>评标基准价的计算：各有效投标的投标报价中（最终报价），最终报价最低的为评标基准价。</w:t>
            </w:r>
          </w:p>
          <w:p>
            <w:pPr>
              <w:spacing w:after="0" w:line="400" w:lineRule="exact"/>
              <w:ind w:firstLine="360" w:firstLineChars="200"/>
              <w:rPr>
                <w:rFonts w:ascii="仿宋" w:hAnsi="仿宋" w:eastAsia="仿宋" w:cs="Times New Roman"/>
                <w:sz w:val="18"/>
                <w:szCs w:val="18"/>
              </w:rPr>
            </w:pPr>
            <w:r>
              <w:rPr>
                <w:rFonts w:hint="eastAsia" w:ascii="仿宋" w:hAnsi="仿宋" w:eastAsia="仿宋" w:cs="Times New Roman"/>
                <w:sz w:val="18"/>
                <w:szCs w:val="18"/>
              </w:rPr>
              <w:t>商务标的得分计算公式：</w:t>
            </w:r>
          </w:p>
          <w:p>
            <w:pPr>
              <w:spacing w:after="0" w:line="400" w:lineRule="exact"/>
              <w:ind w:firstLine="360" w:firstLineChars="200"/>
              <w:rPr>
                <w:rFonts w:ascii="仿宋" w:hAnsi="仿宋" w:eastAsia="仿宋" w:cs="Times New Roman"/>
                <w:sz w:val="18"/>
                <w:szCs w:val="18"/>
              </w:rPr>
            </w:pPr>
            <w:r>
              <w:rPr>
                <w:rFonts w:hint="eastAsia" w:ascii="仿宋" w:hAnsi="仿宋" w:eastAsia="仿宋" w:cs="Times New Roman"/>
                <w:sz w:val="18"/>
                <w:szCs w:val="18"/>
              </w:rPr>
              <w:t>综合评分法中的最终报价分统一采用低价优先法计算，即满足磋商文件要求且最终报价最低的供应商的价格为磋商基准价，其价格分为满分。</w:t>
            </w:r>
          </w:p>
          <w:p>
            <w:pPr>
              <w:spacing w:after="0" w:line="400" w:lineRule="exact"/>
              <w:ind w:firstLine="360" w:firstLineChars="200"/>
              <w:rPr>
                <w:rFonts w:ascii="仿宋" w:hAnsi="仿宋" w:eastAsia="仿宋" w:cs="Times New Roman"/>
                <w:sz w:val="18"/>
                <w:szCs w:val="18"/>
              </w:rPr>
            </w:pPr>
            <w:r>
              <w:rPr>
                <w:rFonts w:hint="eastAsia" w:ascii="仿宋" w:hAnsi="仿宋" w:eastAsia="仿宋" w:cs="Times New Roman"/>
                <w:sz w:val="18"/>
                <w:szCs w:val="18"/>
              </w:rPr>
              <w:t>商务标的得分计算公式示例：</w:t>
            </w:r>
          </w:p>
          <w:p>
            <w:pPr>
              <w:spacing w:after="0" w:line="400" w:lineRule="exact"/>
              <w:ind w:firstLine="360" w:firstLineChars="200"/>
              <w:rPr>
                <w:rFonts w:ascii="仿宋" w:hAnsi="仿宋" w:eastAsia="仿宋" w:cs="Times New Roman"/>
                <w:sz w:val="18"/>
                <w:szCs w:val="18"/>
              </w:rPr>
            </w:pPr>
            <w:r>
              <w:rPr>
                <w:rFonts w:ascii="仿宋" w:hAnsi="仿宋" w:eastAsia="仿宋" w:cs="Times New Roman"/>
                <w:sz w:val="18"/>
                <w:szCs w:val="18"/>
              </w:rPr>
              <w:t>报价得分=（</w:t>
            </w:r>
            <w:r>
              <w:rPr>
                <w:rFonts w:hint="eastAsia" w:ascii="仿宋" w:hAnsi="仿宋" w:eastAsia="仿宋" w:cs="Times New Roman"/>
                <w:sz w:val="18"/>
                <w:szCs w:val="18"/>
              </w:rPr>
              <w:t>评标基准价</w:t>
            </w:r>
            <w:r>
              <w:rPr>
                <w:rFonts w:ascii="仿宋" w:hAnsi="仿宋" w:eastAsia="仿宋" w:cs="Times New Roman"/>
                <w:sz w:val="18"/>
                <w:szCs w:val="18"/>
              </w:rPr>
              <w:t>/</w:t>
            </w:r>
            <w:r>
              <w:rPr>
                <w:rFonts w:hint="eastAsia" w:ascii="仿宋" w:hAnsi="仿宋" w:eastAsia="仿宋" w:cs="Times New Roman"/>
                <w:sz w:val="18"/>
                <w:szCs w:val="18"/>
              </w:rPr>
              <w:t>最终报价</w:t>
            </w:r>
            <w:r>
              <w:rPr>
                <w:rFonts w:ascii="仿宋" w:hAnsi="仿宋" w:eastAsia="仿宋" w:cs="Times New Roman"/>
                <w:sz w:val="18"/>
                <w:szCs w:val="18"/>
              </w:rPr>
              <w:t>）×价格权值×</w:t>
            </w:r>
            <w:r>
              <w:rPr>
                <w:rFonts w:hint="eastAsia" w:ascii="仿宋" w:hAnsi="仿宋" w:eastAsia="仿宋"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964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18"/>
                <w:szCs w:val="18"/>
              </w:rPr>
            </w:pPr>
            <w:r>
              <w:rPr>
                <w:rFonts w:hint="eastAsia" w:ascii="仿宋" w:hAnsi="仿宋" w:eastAsia="仿宋" w:cs="Arial"/>
                <w:sz w:val="24"/>
              </w:rPr>
              <w:t>招标文件技术标准及要求中要求的要求中标“★”为不允许偏离项，偏离即作废标处理</w:t>
            </w:r>
          </w:p>
        </w:tc>
      </w:tr>
    </w:tbl>
    <w:p>
      <w:pPr>
        <w:spacing w:line="360" w:lineRule="auto"/>
        <w:rPr>
          <w:rFonts w:ascii="宋体" w:hAnsi="宋体" w:cs="Times New Roman"/>
          <w:sz w:val="24"/>
        </w:rPr>
      </w:pP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评委</w:t>
      </w:r>
      <w:r>
        <w:rPr>
          <w:rFonts w:hint="eastAsia" w:ascii="仿宋" w:hAnsi="仿宋" w:eastAsia="仿宋" w:cs="Times New Roman"/>
          <w:sz w:val="24"/>
        </w:rPr>
        <w:t>的评分为</w:t>
      </w:r>
      <w:r>
        <w:rPr>
          <w:rFonts w:ascii="仿宋" w:hAnsi="仿宋" w:eastAsia="仿宋" w:cs="Times New Roman"/>
          <w:sz w:val="24"/>
        </w:rPr>
        <w:t>各投标单位的</w:t>
      </w:r>
      <w:r>
        <w:rPr>
          <w:rFonts w:hint="eastAsia" w:ascii="仿宋" w:hAnsi="仿宋" w:eastAsia="仿宋" w:cs="Times New Roman"/>
          <w:sz w:val="24"/>
        </w:rPr>
        <w:t>投标报价、技术评审、综合评审3</w:t>
      </w:r>
      <w:r>
        <w:rPr>
          <w:rFonts w:ascii="仿宋" w:hAnsi="仿宋" w:eastAsia="仿宋" w:cs="Times New Roman"/>
          <w:sz w:val="24"/>
        </w:rPr>
        <w:t>个部分评分之和。投标单位的最终得分为评分的算术平均值（精确到小数点后两位，第三位四舍五入）</w:t>
      </w:r>
      <w:r>
        <w:rPr>
          <w:rFonts w:hint="eastAsia" w:ascii="仿宋" w:hAnsi="仿宋" w:eastAsia="仿宋" w:cs="Times New Roman"/>
          <w:sz w:val="24"/>
        </w:rPr>
        <w:t>。</w:t>
      </w:r>
    </w:p>
    <w:p>
      <w:pPr>
        <w:spacing w:after="0" w:line="360" w:lineRule="auto"/>
        <w:ind w:firstLine="482" w:firstLineChars="200"/>
        <w:jc w:val="both"/>
        <w:rPr>
          <w:rFonts w:ascii="仿宋" w:hAnsi="仿宋" w:eastAsia="仿宋" w:cs="Times New Roman"/>
          <w:b/>
          <w:sz w:val="24"/>
        </w:rPr>
      </w:pPr>
      <w:r>
        <w:rPr>
          <w:rFonts w:hint="eastAsia" w:ascii="仿宋" w:hAnsi="仿宋" w:eastAsia="仿宋" w:cs="Times New Roman"/>
          <w:b/>
          <w:sz w:val="24"/>
        </w:rPr>
        <w:t>推荐中标候选人</w:t>
      </w:r>
    </w:p>
    <w:p>
      <w:pPr>
        <w:tabs>
          <w:tab w:val="left" w:pos="832"/>
        </w:tabs>
        <w:spacing w:after="0" w:line="360" w:lineRule="auto"/>
        <w:ind w:firstLine="532" w:firstLineChars="222"/>
        <w:jc w:val="both"/>
        <w:rPr>
          <w:rFonts w:ascii="仿宋" w:hAnsi="仿宋" w:eastAsia="仿宋" w:cs="Times New Roman"/>
          <w:sz w:val="24"/>
        </w:rPr>
      </w:pPr>
      <w:r>
        <w:rPr>
          <w:rFonts w:hint="eastAsia" w:ascii="仿宋" w:hAnsi="仿宋" w:eastAsia="仿宋" w:cs="Times New Roman"/>
          <w:sz w:val="24"/>
        </w:rPr>
        <w:t>评标委员评分完毕后由工作人员对评分进行统计汇总，并按投标人获得评标委员评分汇总得分从高到低进行排序，排序前3名的投标人即为中标候选人。若有2个及以上投标人得分数相同，则按投标总报价较低的投标人向前排列，确定中标候选人。</w:t>
      </w:r>
    </w:p>
    <w:p>
      <w:pPr>
        <w:spacing w:line="220" w:lineRule="atLeast"/>
      </w:pPr>
    </w:p>
    <w:p>
      <w:pPr>
        <w:pStyle w:val="2"/>
        <w:jc w:val="center"/>
        <w:rPr>
          <w:rFonts w:ascii="宋体" w:hAnsi="宋体"/>
          <w:sz w:val="28"/>
          <w:szCs w:val="28"/>
        </w:rPr>
      </w:pPr>
      <w:bookmarkStart w:id="20" w:name="_Toc246996995"/>
      <w:bookmarkStart w:id="21" w:name="_Toc467049281"/>
      <w:bookmarkStart w:id="22" w:name="_Toc246996252"/>
      <w:bookmarkStart w:id="23" w:name="_Toc247085767"/>
      <w:bookmarkStart w:id="24" w:name="_Toc179632627"/>
      <w:bookmarkStart w:id="25" w:name="_Toc152045609"/>
      <w:bookmarkStart w:id="26" w:name="_Toc152042387"/>
      <w:bookmarkStart w:id="27" w:name="_Toc144974577"/>
    </w:p>
    <w:p/>
    <w:p/>
    <w:bookmarkEnd w:id="20"/>
    <w:bookmarkEnd w:id="21"/>
    <w:bookmarkEnd w:id="22"/>
    <w:bookmarkEnd w:id="23"/>
    <w:bookmarkEnd w:id="24"/>
    <w:bookmarkEnd w:id="25"/>
    <w:bookmarkEnd w:id="26"/>
    <w:bookmarkEnd w:id="27"/>
    <w:p/>
    <w:p/>
    <w:p/>
    <w:p/>
    <w:p/>
    <w:p/>
    <w:p/>
    <w:p/>
    <w:p/>
    <w:p/>
    <w:p/>
    <w:p/>
    <w:p/>
    <w:p>
      <w:pPr>
        <w:pStyle w:val="2"/>
        <w:jc w:val="center"/>
        <w:rPr>
          <w:rFonts w:ascii="宋体" w:hAnsi="宋体"/>
          <w:sz w:val="28"/>
          <w:szCs w:val="28"/>
        </w:rPr>
      </w:pPr>
      <w:bookmarkStart w:id="28" w:name="_Toc485198638"/>
      <w:bookmarkStart w:id="29" w:name="_Toc515952994"/>
      <w:r>
        <w:rPr>
          <w:rFonts w:hint="eastAsia" w:ascii="宋体" w:hAnsi="宋体"/>
          <w:sz w:val="28"/>
          <w:szCs w:val="28"/>
        </w:rPr>
        <w:t>第四章 合同条款及格式</w:t>
      </w:r>
      <w:bookmarkEnd w:id="28"/>
      <w:r>
        <w:rPr>
          <w:rFonts w:hint="eastAsia" w:ascii="宋体" w:hAnsi="宋体"/>
          <w:sz w:val="28"/>
          <w:szCs w:val="28"/>
        </w:rPr>
        <w:t>（略）</w:t>
      </w:r>
      <w:bookmarkEnd w:id="29"/>
    </w:p>
    <w:p>
      <w:pPr>
        <w:spacing w:line="220" w:lineRule="atLeast"/>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pStyle w:val="2"/>
        <w:rPr>
          <w:rFonts w:ascii="宋体" w:hAnsi="宋体"/>
          <w:sz w:val="28"/>
          <w:szCs w:val="28"/>
        </w:rPr>
      </w:pPr>
      <w:bookmarkStart w:id="30" w:name="_Toc247085852"/>
      <w:bookmarkStart w:id="31" w:name="_Toc246997080"/>
      <w:bookmarkStart w:id="32" w:name="_Toc246996337"/>
      <w:bookmarkStart w:id="33" w:name="_Toc179632786"/>
      <w:bookmarkStart w:id="34" w:name="_Toc152045768"/>
      <w:bookmarkStart w:id="35" w:name="_Toc152042547"/>
      <w:bookmarkStart w:id="36" w:name="_Toc144974827"/>
      <w:bookmarkStart w:id="37" w:name="_Toc487731450"/>
      <w:bookmarkStart w:id="38" w:name="_Toc515952995"/>
      <w:r>
        <w:rPr>
          <w:rFonts w:hint="eastAsia" w:ascii="宋体" w:hAnsi="宋体"/>
          <w:sz w:val="28"/>
          <w:szCs w:val="28"/>
        </w:rPr>
        <w:t>附件一：</w:t>
      </w:r>
      <w:bookmarkEnd w:id="30"/>
      <w:bookmarkEnd w:id="31"/>
      <w:bookmarkEnd w:id="32"/>
      <w:bookmarkEnd w:id="33"/>
      <w:bookmarkEnd w:id="34"/>
      <w:bookmarkEnd w:id="35"/>
      <w:bookmarkEnd w:id="36"/>
      <w:r>
        <w:rPr>
          <w:rFonts w:hint="eastAsia" w:ascii="宋体" w:hAnsi="宋体"/>
          <w:sz w:val="28"/>
          <w:szCs w:val="28"/>
        </w:rPr>
        <w:t>湖北省建设工程勘察设计咨询服务廉洁协议书</w:t>
      </w:r>
      <w:bookmarkEnd w:id="37"/>
      <w:bookmarkEnd w:id="38"/>
    </w:p>
    <w:p>
      <w:pPr>
        <w:spacing w:line="410" w:lineRule="exact"/>
        <w:ind w:firstLine="482" w:firstLineChars="200"/>
        <w:rPr>
          <w:rFonts w:ascii="宋体" w:hAnsi="宋体" w:eastAsia="宋体"/>
          <w:b/>
          <w:sz w:val="24"/>
        </w:rPr>
      </w:pPr>
      <w:r>
        <w:rPr>
          <w:rFonts w:ascii="宋体" w:hAnsi="宋体" w:eastAsia="宋体"/>
          <w:b/>
          <w:sz w:val="24"/>
        </w:rPr>
        <w:t>甲方（发包人）：</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p>
    <w:p>
      <w:pPr>
        <w:spacing w:line="410" w:lineRule="exact"/>
        <w:ind w:firstLine="482" w:firstLineChars="200"/>
        <w:rPr>
          <w:rFonts w:ascii="宋体" w:hAnsi="宋体" w:eastAsia="宋体"/>
          <w:b/>
          <w:sz w:val="24"/>
          <w:u w:val="single"/>
        </w:rPr>
      </w:pPr>
      <w:r>
        <w:rPr>
          <w:rFonts w:ascii="宋体" w:hAnsi="宋体" w:eastAsia="宋体"/>
          <w:b/>
          <w:sz w:val="24"/>
        </w:rPr>
        <w:t>乙方（</w:t>
      </w:r>
      <w:r>
        <w:rPr>
          <w:rFonts w:hint="eastAsia" w:ascii="宋体" w:hAnsi="宋体" w:eastAsia="宋体"/>
          <w:b/>
          <w:sz w:val="24"/>
        </w:rPr>
        <w:t>勘察</w:t>
      </w:r>
      <w:r>
        <w:rPr>
          <w:rFonts w:ascii="宋体" w:hAnsi="宋体" w:eastAsia="宋体"/>
          <w:b/>
          <w:sz w:val="24"/>
        </w:rPr>
        <w:t>人）：</w:t>
      </w:r>
      <w:r>
        <w:rPr>
          <w:rFonts w:ascii="宋体" w:hAnsi="宋体" w:eastAsia="宋体"/>
          <w:sz w:val="24"/>
          <w:u w:val="single"/>
        </w:rPr>
        <w:t xml:space="preserve">                                                                 </w:t>
      </w:r>
    </w:p>
    <w:p>
      <w:pPr>
        <w:spacing w:line="410" w:lineRule="exact"/>
        <w:ind w:firstLine="482" w:firstLineChars="200"/>
        <w:rPr>
          <w:rFonts w:ascii="宋体" w:hAnsi="宋体" w:eastAsia="宋体"/>
          <w:b/>
          <w:sz w:val="24"/>
        </w:rPr>
      </w:pPr>
      <w:r>
        <w:rPr>
          <w:rFonts w:ascii="宋体" w:hAnsi="宋体" w:eastAsia="宋体"/>
          <w:b/>
          <w:sz w:val="24"/>
        </w:rPr>
        <w:t>工程项目名称：</w:t>
      </w:r>
      <w:r>
        <w:rPr>
          <w:rFonts w:ascii="宋体" w:hAnsi="宋体" w:eastAsia="宋体"/>
          <w:sz w:val="24"/>
          <w:u w:val="single"/>
        </w:rPr>
        <w:t xml:space="preserve">                                                                  </w:t>
      </w:r>
    </w:p>
    <w:p>
      <w:pPr>
        <w:spacing w:line="410" w:lineRule="exact"/>
        <w:ind w:firstLine="482" w:firstLineChars="200"/>
        <w:rPr>
          <w:rFonts w:ascii="新宋体" w:hAnsi="新宋体" w:eastAsia="新宋体"/>
          <w:b/>
          <w:sz w:val="24"/>
        </w:rPr>
      </w:pPr>
      <w:r>
        <w:rPr>
          <w:rFonts w:ascii="宋体" w:hAnsi="宋体" w:eastAsia="宋体"/>
          <w:b/>
          <w:sz w:val="24"/>
        </w:rPr>
        <w:t>工程项目地址：</w:t>
      </w:r>
      <w:r>
        <w:rPr>
          <w:rFonts w:ascii="宋体" w:hAnsi="宋体" w:eastAsia="宋体"/>
          <w:sz w:val="24"/>
          <w:u w:val="single"/>
        </w:rPr>
        <w:t xml:space="preserve">                                                    </w:t>
      </w:r>
      <w:r>
        <w:rPr>
          <w:rFonts w:ascii="新宋体" w:hAnsi="新宋体" w:eastAsia="新宋体"/>
          <w:sz w:val="24"/>
          <w:u w:val="single"/>
        </w:rPr>
        <w:t xml:space="preserve">              </w:t>
      </w:r>
    </w:p>
    <w:p>
      <w:pPr>
        <w:tabs>
          <w:tab w:val="left" w:pos="360"/>
          <w:tab w:val="left" w:pos="540"/>
        </w:tabs>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为加强廉洁建设，规范承发包双方的活动，防止发生各种谋取不正当利益的违法违纪行为，保护当事人的合法权益，根据省政府第308号令的有关规定，由甲方与乙方订立本协议书。</w:t>
      </w:r>
    </w:p>
    <w:p>
      <w:pPr>
        <w:tabs>
          <w:tab w:val="left" w:pos="360"/>
          <w:tab w:val="left" w:pos="540"/>
        </w:tabs>
        <w:spacing w:after="0" w:line="360" w:lineRule="auto"/>
        <w:ind w:firstLine="482" w:firstLineChars="200"/>
        <w:jc w:val="both"/>
        <w:rPr>
          <w:rFonts w:ascii="仿宋" w:hAnsi="仿宋" w:eastAsia="仿宋" w:cs="Times New Roman"/>
          <w:sz w:val="24"/>
        </w:rPr>
      </w:pPr>
      <w:r>
        <w:rPr>
          <w:rFonts w:hint="eastAsia" w:ascii="仿宋" w:hAnsi="仿宋" w:eastAsia="仿宋" w:cs="Times New Roman"/>
          <w:b/>
          <w:bCs/>
          <w:sz w:val="24"/>
        </w:rPr>
        <w:t>第一条  甲乙双方责任</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（一）严格遵守国家法律法规和省政府第308号令的有关规定。</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（二）严格执行一切合同文件，自觉按合同办事。</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（三）双方的业务活动坚持公平、公开、公正和诚信的原则（法律法规另有规定除外），不得损害国家、集体和对方利益，不得违反工程建设管理规章制度。</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（四）建立健全廉洁制度，开展廉洁教育，设立廉洁告示牌，公布举报电话，监督并认真查处违法违纪行为。</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（五）发现对方在业务活动中有违反廉洁建设规定的行为，应及时给予提醒和纠正。</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（六）发现对方严重违反廉洁建设的行为，应向其上级部门或纪检、监察等有关机关举报。影响合同履行的，可按合同中关于合同解除的约定处理。</w:t>
      </w:r>
    </w:p>
    <w:p>
      <w:pPr>
        <w:tabs>
          <w:tab w:val="left" w:pos="360"/>
          <w:tab w:val="left" w:pos="540"/>
        </w:tabs>
        <w:spacing w:after="0" w:line="360" w:lineRule="auto"/>
        <w:ind w:firstLine="482" w:firstLineChars="200"/>
        <w:jc w:val="both"/>
        <w:rPr>
          <w:rFonts w:ascii="仿宋" w:hAnsi="仿宋" w:eastAsia="仿宋" w:cs="Times New Roman"/>
          <w:b/>
          <w:bCs/>
          <w:sz w:val="24"/>
        </w:rPr>
      </w:pPr>
      <w:r>
        <w:rPr>
          <w:rFonts w:ascii="仿宋" w:hAnsi="仿宋" w:eastAsia="仿宋" w:cs="Times New Roman"/>
          <w:b/>
          <w:bCs/>
          <w:sz w:val="24"/>
        </w:rPr>
        <w:t>第二条 甲方责任</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（一）甲方作为工程项目的建设单位，全面负责工程建设的进度、质量和资金管理，认真履行合同规定的甲方责任。</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（三）甲方人员不得参加乙方安排的宴请（工作餐除外）和娱乐活动；不得接受乙方提供的通讯工具、交通工具和高档办公用品等。</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（四）甲方人员不得要求或者接受乙方为其住房装修、婚丧嫁娶活动、配偶子女的工作等安排提方便。</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（五）甲方人员及其配偶、子女等亲友不得从事与乙方有关的工程材料设备供应、工程分包、劳务等经济活动。</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（六）甲方人员不得以任何理由向乙方推荐分包单位或推销材料，不得要求乙方购买合同约定以外的材料和设备。</w:t>
      </w:r>
    </w:p>
    <w:p>
      <w:pPr>
        <w:tabs>
          <w:tab w:val="left" w:pos="360"/>
          <w:tab w:val="left" w:pos="540"/>
        </w:tabs>
        <w:spacing w:after="0" w:line="360" w:lineRule="auto"/>
        <w:ind w:firstLine="482" w:firstLineChars="200"/>
        <w:jc w:val="both"/>
        <w:rPr>
          <w:rFonts w:ascii="仿宋" w:hAnsi="仿宋" w:eastAsia="仿宋" w:cs="Times New Roman"/>
          <w:b/>
          <w:bCs/>
          <w:sz w:val="24"/>
        </w:rPr>
      </w:pPr>
      <w:r>
        <w:rPr>
          <w:rFonts w:ascii="仿宋" w:hAnsi="仿宋" w:eastAsia="仿宋" w:cs="Times New Roman"/>
          <w:b/>
          <w:bCs/>
          <w:sz w:val="24"/>
        </w:rPr>
        <w:t>第三条 乙方责任</w:t>
      </w:r>
    </w:p>
    <w:p>
      <w:pPr>
        <w:spacing w:after="0" w:line="360" w:lineRule="auto"/>
        <w:ind w:firstLine="480" w:firstLineChars="200"/>
        <w:jc w:val="both"/>
        <w:rPr>
          <w:rFonts w:ascii="仿宋" w:hAnsi="仿宋" w:eastAsia="仿宋" w:cs="Times New Roman"/>
          <w:bCs/>
          <w:sz w:val="24"/>
        </w:rPr>
      </w:pPr>
      <w:r>
        <w:rPr>
          <w:rFonts w:ascii="仿宋" w:hAnsi="仿宋" w:eastAsia="仿宋" w:cs="Times New Roman"/>
          <w:bCs/>
          <w:sz w:val="24"/>
        </w:rPr>
        <w:t>（一）乙方作为工程项目的</w:t>
      </w:r>
      <w:r>
        <w:rPr>
          <w:rFonts w:hint="eastAsia" w:ascii="仿宋" w:hAnsi="仿宋" w:eastAsia="仿宋" w:cs="Times New Roman"/>
          <w:bCs/>
          <w:sz w:val="24"/>
        </w:rPr>
        <w:t>设计</w:t>
      </w:r>
      <w:r>
        <w:rPr>
          <w:rFonts w:ascii="仿宋" w:hAnsi="仿宋" w:eastAsia="仿宋" w:cs="Times New Roman"/>
          <w:bCs/>
          <w:sz w:val="24"/>
        </w:rPr>
        <w:t>责任主体，严格执行工程建设法律、法规和强制性标准与规范，依照合同负责承担工程</w:t>
      </w:r>
      <w:r>
        <w:rPr>
          <w:rFonts w:hint="eastAsia" w:ascii="仿宋" w:hAnsi="仿宋" w:eastAsia="仿宋" w:cs="Times New Roman"/>
          <w:bCs/>
          <w:sz w:val="24"/>
        </w:rPr>
        <w:t>设计</w:t>
      </w:r>
      <w:r>
        <w:rPr>
          <w:rFonts w:ascii="仿宋" w:hAnsi="仿宋" w:eastAsia="仿宋" w:cs="Times New Roman"/>
          <w:bCs/>
          <w:sz w:val="24"/>
        </w:rPr>
        <w:t>的进度、质量、资金控制。</w:t>
      </w:r>
    </w:p>
    <w:p>
      <w:pPr>
        <w:tabs>
          <w:tab w:val="left" w:pos="360"/>
        </w:tabs>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pPr>
        <w:tabs>
          <w:tab w:val="left" w:pos="540"/>
        </w:tabs>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（三）乙方不得以任何理由安排甲方人员参加宴请（工作餐除外）及娱乐活动，提供通讯工具、交通工具和高档办公用品。</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（四）乙方不向甲方人员的住房装修、婚丧嫁娶活动、配偶子女工作等安排提供便利。</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（五）乙方不接受甲方人员及其配偶、子女等亲友从事或明示、暗示干涉工程材料设备供应、工程分包、劳务等经济活动的要求。</w:t>
      </w:r>
    </w:p>
    <w:p>
      <w:pPr>
        <w:tabs>
          <w:tab w:val="left" w:pos="360"/>
          <w:tab w:val="left" w:pos="540"/>
        </w:tabs>
        <w:spacing w:after="0" w:line="360" w:lineRule="auto"/>
        <w:ind w:firstLine="482" w:firstLineChars="200"/>
        <w:jc w:val="both"/>
        <w:rPr>
          <w:rFonts w:ascii="仿宋" w:hAnsi="仿宋" w:eastAsia="仿宋" w:cs="Times New Roman"/>
          <w:b/>
          <w:bCs/>
          <w:sz w:val="24"/>
        </w:rPr>
      </w:pPr>
      <w:r>
        <w:rPr>
          <w:rFonts w:ascii="仿宋" w:hAnsi="仿宋" w:eastAsia="仿宋" w:cs="Times New Roman"/>
          <w:b/>
          <w:bCs/>
          <w:sz w:val="24"/>
        </w:rPr>
        <w:t>第四条 违约责任</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（一）甲方人员违反本协议第一条和第二条规定的，按照管理权限，依据有关法律和规定给予党纪、政纪处分或组织处理，涉嫌犯罪的，移交司法机关追究刑事责任；给乙方造成经济损失的，应予赔偿</w:t>
      </w:r>
      <w:r>
        <w:rPr>
          <w:rFonts w:hint="eastAsia" w:ascii="仿宋" w:hAnsi="仿宋" w:eastAsia="仿宋" w:cs="Times New Roman"/>
          <w:sz w:val="24"/>
        </w:rPr>
        <w:t>全部经济损失</w:t>
      </w:r>
      <w:r>
        <w:rPr>
          <w:rFonts w:ascii="仿宋" w:hAnsi="仿宋" w:eastAsia="仿宋" w:cs="Times New Roman"/>
          <w:sz w:val="24"/>
        </w:rPr>
        <w:t>。</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（二）乙方人员违反本协议第一条和第三条规定的，按照管理权限，依据有关法律和规定给予党纪、政纪处分或组织处理，涉嫌犯罪的，移交司法机关追究刑事责任；给甲方造成经济损失的，应予</w:t>
      </w:r>
      <w:r>
        <w:rPr>
          <w:rFonts w:hint="eastAsia" w:ascii="仿宋" w:hAnsi="仿宋" w:eastAsia="仿宋" w:cs="Times New Roman"/>
          <w:sz w:val="24"/>
        </w:rPr>
        <w:t>全额</w:t>
      </w:r>
      <w:r>
        <w:rPr>
          <w:rFonts w:ascii="仿宋" w:hAnsi="仿宋" w:eastAsia="仿宋" w:cs="Times New Roman"/>
          <w:sz w:val="24"/>
        </w:rPr>
        <w:t>赔偿</w:t>
      </w:r>
      <w:r>
        <w:rPr>
          <w:rFonts w:hint="eastAsia" w:ascii="仿宋" w:hAnsi="仿宋" w:eastAsia="仿宋" w:cs="Times New Roman"/>
          <w:sz w:val="24"/>
        </w:rPr>
        <w:t>经济损失</w:t>
      </w:r>
      <w:r>
        <w:rPr>
          <w:rFonts w:ascii="仿宋" w:hAnsi="仿宋" w:eastAsia="仿宋" w:cs="Times New Roman"/>
          <w:sz w:val="24"/>
        </w:rPr>
        <w:t>。</w:t>
      </w:r>
    </w:p>
    <w:p>
      <w:pPr>
        <w:tabs>
          <w:tab w:val="left" w:pos="360"/>
          <w:tab w:val="left" w:pos="540"/>
        </w:tabs>
        <w:spacing w:after="0" w:line="360" w:lineRule="auto"/>
        <w:ind w:firstLine="482" w:firstLineChars="200"/>
        <w:jc w:val="both"/>
        <w:rPr>
          <w:rFonts w:ascii="仿宋" w:hAnsi="仿宋" w:eastAsia="仿宋" w:cs="Times New Roman"/>
          <w:b/>
          <w:bCs/>
          <w:sz w:val="24"/>
        </w:rPr>
      </w:pPr>
      <w:r>
        <w:rPr>
          <w:rFonts w:ascii="仿宋" w:hAnsi="仿宋" w:eastAsia="仿宋" w:cs="Times New Roman"/>
          <w:b/>
          <w:bCs/>
          <w:sz w:val="24"/>
        </w:rPr>
        <w:t>第五条 协议生效</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本协议的有效期，自双方签署之日起至该工程竣工验收合格之日止。</w:t>
      </w:r>
    </w:p>
    <w:p>
      <w:pPr>
        <w:tabs>
          <w:tab w:val="left" w:pos="360"/>
          <w:tab w:val="left" w:pos="540"/>
        </w:tabs>
        <w:spacing w:after="0" w:line="360" w:lineRule="auto"/>
        <w:ind w:firstLine="482" w:firstLineChars="200"/>
        <w:jc w:val="both"/>
        <w:rPr>
          <w:rFonts w:ascii="仿宋" w:hAnsi="仿宋" w:eastAsia="仿宋" w:cs="Times New Roman"/>
          <w:b/>
          <w:bCs/>
          <w:sz w:val="24"/>
        </w:rPr>
      </w:pPr>
      <w:r>
        <w:rPr>
          <w:rFonts w:ascii="仿宋" w:hAnsi="仿宋" w:eastAsia="仿宋" w:cs="Times New Roman"/>
          <w:b/>
          <w:bCs/>
          <w:sz w:val="24"/>
        </w:rPr>
        <w:t>第六条 协议法律效力</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本协议书作为工程施工合同的附件，与</w:t>
      </w:r>
      <w:r>
        <w:rPr>
          <w:rFonts w:hint="eastAsia" w:ascii="仿宋" w:hAnsi="仿宋" w:eastAsia="仿宋" w:cs="Times New Roman"/>
          <w:sz w:val="24"/>
        </w:rPr>
        <w:t>勘察设计</w:t>
      </w:r>
      <w:r>
        <w:rPr>
          <w:rFonts w:ascii="仿宋" w:hAnsi="仿宋" w:eastAsia="仿宋" w:cs="Times New Roman"/>
          <w:sz w:val="24"/>
        </w:rPr>
        <w:t>合同具有同等的法律效力，经双方签署后生效。</w:t>
      </w:r>
    </w:p>
    <w:p>
      <w:pPr>
        <w:tabs>
          <w:tab w:val="left" w:pos="360"/>
          <w:tab w:val="left" w:pos="540"/>
        </w:tabs>
        <w:spacing w:after="0" w:line="360" w:lineRule="auto"/>
        <w:ind w:firstLine="482" w:firstLineChars="200"/>
        <w:jc w:val="both"/>
        <w:rPr>
          <w:rFonts w:ascii="仿宋" w:hAnsi="仿宋" w:eastAsia="仿宋" w:cs="Times New Roman"/>
          <w:b/>
          <w:bCs/>
          <w:sz w:val="24"/>
        </w:rPr>
      </w:pPr>
      <w:r>
        <w:rPr>
          <w:rFonts w:ascii="仿宋" w:hAnsi="仿宋" w:eastAsia="仿宋" w:cs="Times New Roman"/>
          <w:b/>
          <w:bCs/>
          <w:sz w:val="24"/>
        </w:rPr>
        <w:t>第七条 协议份数</w:t>
      </w:r>
    </w:p>
    <w:p>
      <w:pPr>
        <w:spacing w:after="0" w:line="360" w:lineRule="auto"/>
        <w:ind w:firstLine="480" w:firstLineChars="200"/>
        <w:jc w:val="both"/>
        <w:rPr>
          <w:rFonts w:ascii="仿宋" w:hAnsi="仿宋" w:eastAsia="仿宋" w:cs="Times New Roman"/>
          <w:sz w:val="24"/>
        </w:rPr>
      </w:pPr>
      <w:r>
        <w:rPr>
          <w:rFonts w:ascii="仿宋" w:hAnsi="仿宋" w:eastAsia="仿宋" w:cs="Times New Roman"/>
          <w:sz w:val="24"/>
        </w:rPr>
        <w:t>本协议一式</w:t>
      </w:r>
      <w:r>
        <w:rPr>
          <w:rFonts w:hint="eastAsia" w:ascii="仿宋" w:hAnsi="仿宋" w:eastAsia="仿宋" w:cs="Times New Roman"/>
          <w:sz w:val="24"/>
        </w:rPr>
        <w:t>捌</w:t>
      </w:r>
      <w:r>
        <w:rPr>
          <w:rFonts w:ascii="仿宋" w:hAnsi="仿宋" w:eastAsia="仿宋" w:cs="Times New Roman"/>
          <w:sz w:val="24"/>
        </w:rPr>
        <w:t>份，</w:t>
      </w:r>
      <w:r>
        <w:rPr>
          <w:rFonts w:hint="eastAsia" w:ascii="仿宋" w:hAnsi="仿宋" w:eastAsia="仿宋" w:cs="Times New Roman"/>
          <w:sz w:val="24"/>
        </w:rPr>
        <w:t>甲</w:t>
      </w:r>
      <w:r>
        <w:rPr>
          <w:rFonts w:ascii="仿宋" w:hAnsi="仿宋" w:eastAsia="仿宋" w:cs="Times New Roman"/>
          <w:sz w:val="24"/>
        </w:rPr>
        <w:t>双执</w:t>
      </w:r>
      <w:r>
        <w:rPr>
          <w:rFonts w:hint="eastAsia" w:ascii="仿宋" w:hAnsi="仿宋" w:eastAsia="仿宋" w:cs="Times New Roman"/>
          <w:sz w:val="24"/>
        </w:rPr>
        <w:t>陆</w:t>
      </w:r>
      <w:r>
        <w:rPr>
          <w:rFonts w:ascii="仿宋" w:hAnsi="仿宋" w:eastAsia="仿宋" w:cs="Times New Roman"/>
          <w:sz w:val="24"/>
        </w:rPr>
        <w:t>份</w:t>
      </w:r>
      <w:r>
        <w:rPr>
          <w:rFonts w:hint="eastAsia" w:ascii="仿宋" w:hAnsi="仿宋" w:eastAsia="仿宋" w:cs="Times New Roman"/>
          <w:sz w:val="24"/>
        </w:rPr>
        <w:t>，乙方执贰份</w:t>
      </w:r>
      <w:r>
        <w:rPr>
          <w:rFonts w:ascii="仿宋" w:hAnsi="仿宋" w:eastAsia="仿宋" w:cs="Times New Roman"/>
          <w:sz w:val="24"/>
        </w:rPr>
        <w:t>。在签订后与工程</w:t>
      </w:r>
      <w:r>
        <w:rPr>
          <w:rFonts w:hint="eastAsia" w:ascii="仿宋" w:hAnsi="仿宋" w:eastAsia="仿宋" w:cs="Times New Roman"/>
          <w:sz w:val="24"/>
        </w:rPr>
        <w:t>勘察设计</w:t>
      </w:r>
      <w:r>
        <w:rPr>
          <w:rFonts w:ascii="仿宋" w:hAnsi="仿宋" w:eastAsia="仿宋" w:cs="Times New Roman"/>
          <w:sz w:val="24"/>
        </w:rPr>
        <w:t>合同一并送工程所在地建设行政主管部门或其指定（委托）的部门（机构）备案一份。</w:t>
      </w:r>
    </w:p>
    <w:p>
      <w:pPr>
        <w:spacing w:beforeLines="50" w:afterLines="50" w:line="360" w:lineRule="auto"/>
        <w:ind w:firstLine="477" w:firstLineChars="199"/>
        <w:jc w:val="both"/>
        <w:rPr>
          <w:rFonts w:ascii="仿宋" w:hAnsi="仿宋" w:eastAsia="仿宋" w:cs="Times New Roman"/>
          <w:sz w:val="24"/>
        </w:rPr>
      </w:pPr>
      <w:r>
        <w:rPr>
          <w:rFonts w:ascii="仿宋" w:hAnsi="仿宋" w:eastAsia="仿宋" w:cs="Times New Roman"/>
          <w:sz w:val="24"/>
        </w:rPr>
        <w:t>甲方（公章）：                           乙方（公章）：</w:t>
      </w:r>
    </w:p>
    <w:p>
      <w:pPr>
        <w:spacing w:beforeLines="50" w:afterLines="50" w:line="360" w:lineRule="auto"/>
        <w:ind w:firstLine="477" w:firstLineChars="199"/>
        <w:jc w:val="both"/>
        <w:rPr>
          <w:rFonts w:ascii="仿宋" w:hAnsi="仿宋" w:eastAsia="仿宋" w:cs="Times New Roman"/>
          <w:sz w:val="24"/>
        </w:rPr>
      </w:pPr>
      <w:r>
        <w:rPr>
          <w:rFonts w:ascii="仿宋" w:hAnsi="仿宋" w:eastAsia="仿宋" w:cs="Times New Roman"/>
          <w:sz w:val="24"/>
        </w:rPr>
        <w:t>地      址：                            地      址：</w:t>
      </w:r>
    </w:p>
    <w:p>
      <w:pPr>
        <w:tabs>
          <w:tab w:val="left" w:pos="525"/>
          <w:tab w:val="left" w:pos="1155"/>
        </w:tabs>
        <w:spacing w:beforeLines="50" w:afterLines="50" w:line="360" w:lineRule="auto"/>
        <w:ind w:firstLine="477" w:firstLineChars="199"/>
        <w:jc w:val="both"/>
        <w:rPr>
          <w:rFonts w:ascii="仿宋" w:hAnsi="仿宋" w:eastAsia="仿宋" w:cs="Times New Roman"/>
          <w:sz w:val="24"/>
        </w:rPr>
      </w:pPr>
      <w:r>
        <w:rPr>
          <w:rFonts w:ascii="仿宋" w:hAnsi="仿宋" w:eastAsia="仿宋" w:cs="Times New Roman"/>
          <w:sz w:val="24"/>
        </w:rPr>
        <w:t>法定代表人：                            法定代表人：</w:t>
      </w:r>
    </w:p>
    <w:p>
      <w:pPr>
        <w:tabs>
          <w:tab w:val="left" w:pos="0"/>
          <w:tab w:val="left" w:pos="1155"/>
        </w:tabs>
        <w:spacing w:beforeLines="50" w:afterLines="50" w:line="360" w:lineRule="auto"/>
        <w:ind w:firstLine="477" w:firstLineChars="199"/>
        <w:jc w:val="both"/>
        <w:rPr>
          <w:rFonts w:ascii="仿宋" w:hAnsi="仿宋" w:eastAsia="仿宋" w:cs="Times New Roman"/>
          <w:sz w:val="24"/>
        </w:rPr>
      </w:pPr>
      <w:r>
        <w:rPr>
          <w:rFonts w:ascii="仿宋" w:hAnsi="仿宋" w:eastAsia="仿宋" w:cs="Times New Roman"/>
          <w:sz w:val="24"/>
        </w:rPr>
        <w:t>委托代理人：                            委托代理人：</w:t>
      </w:r>
    </w:p>
    <w:p>
      <w:pPr>
        <w:spacing w:after="0" w:line="360" w:lineRule="auto"/>
        <w:ind w:firstLine="1560" w:firstLineChars="650"/>
        <w:jc w:val="both"/>
        <w:rPr>
          <w:rFonts w:ascii="仿宋" w:hAnsi="仿宋" w:eastAsia="仿宋" w:cs="Times New Roman"/>
          <w:b/>
          <w:sz w:val="24"/>
        </w:rPr>
      </w:pPr>
      <w:r>
        <w:rPr>
          <w:rFonts w:hint="eastAsia" w:ascii="仿宋" w:hAnsi="仿宋" w:eastAsia="仿宋" w:cs="Times New Roman"/>
          <w:sz w:val="24"/>
        </w:rPr>
        <w:t>年  月   日                      年  月  日</w:t>
      </w: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
      <w:pPr>
        <w:pStyle w:val="2"/>
        <w:jc w:val="center"/>
        <w:rPr>
          <w:rFonts w:ascii="宋体" w:hAnsi="宋体"/>
          <w:b w:val="0"/>
          <w:sz w:val="28"/>
          <w:szCs w:val="28"/>
        </w:rPr>
      </w:pPr>
      <w:bookmarkStart w:id="39" w:name="_Toc515952996"/>
      <w:r>
        <w:rPr>
          <w:rFonts w:hint="eastAsia" w:ascii="宋体" w:hAnsi="宋体"/>
          <w:sz w:val="28"/>
          <w:szCs w:val="28"/>
        </w:rPr>
        <w:t>第五章  磋商响应文件格式</w:t>
      </w:r>
      <w:bookmarkEnd w:id="39"/>
    </w:p>
    <w:p>
      <w:pPr>
        <w:spacing w:line="220" w:lineRule="atLeast"/>
        <w:rPr>
          <w:rFonts w:ascii="宋体" w:hAnsi="宋体" w:eastAsia="宋体"/>
          <w:sz w:val="24"/>
          <w:szCs w:val="24"/>
        </w:rPr>
      </w:pPr>
      <w:r>
        <w:rPr>
          <w:rFonts w:hint="eastAsia" w:ascii="宋体" w:hAnsi="宋体" w:eastAsia="宋体"/>
          <w:sz w:val="24"/>
          <w:szCs w:val="24"/>
        </w:rPr>
        <w:t>1.响应文件封面格式</w:t>
      </w:r>
    </w:p>
    <w:p>
      <w:pPr>
        <w:spacing w:line="220" w:lineRule="atLeast"/>
        <w:jc w:val="center"/>
        <w:rPr>
          <w:rFonts w:ascii="宋体" w:hAnsi="宋体" w:eastAsia="宋体"/>
          <w:b/>
          <w:sz w:val="28"/>
          <w:szCs w:val="28"/>
        </w:rPr>
      </w:pPr>
    </w:p>
    <w:p>
      <w:pPr>
        <w:spacing w:line="220" w:lineRule="atLeast"/>
        <w:jc w:val="center"/>
        <w:rPr>
          <w:rFonts w:ascii="微软雅黑" w:hAnsi="微软雅黑" w:cs="微软雅黑"/>
          <w:b/>
          <w:bCs/>
          <w:color w:val="000000"/>
          <w:sz w:val="32"/>
          <w:szCs w:val="32"/>
          <w:shd w:val="clear" w:color="auto" w:fill="FFFFFF"/>
        </w:rPr>
      </w:pPr>
      <w:r>
        <w:rPr>
          <w:rFonts w:hint="eastAsia" w:ascii="微软雅黑" w:hAnsi="微软雅黑" w:cs="微软雅黑"/>
          <w:b/>
          <w:bCs/>
          <w:color w:val="000000"/>
          <w:sz w:val="32"/>
          <w:szCs w:val="32"/>
          <w:shd w:val="clear" w:color="auto" w:fill="FFFFFF"/>
        </w:rPr>
        <w:t>坪坝营四洞峡景区危岩防治工程勘察及设计项目</w:t>
      </w:r>
    </w:p>
    <w:p>
      <w:pPr>
        <w:spacing w:line="220" w:lineRule="atLeast"/>
        <w:jc w:val="center"/>
        <w:rPr>
          <w:rFonts w:ascii="微软雅黑" w:hAnsi="微软雅黑" w:cs="微软雅黑"/>
          <w:b/>
          <w:bCs/>
          <w:sz w:val="32"/>
          <w:szCs w:val="24"/>
        </w:rPr>
      </w:pPr>
      <w:r>
        <w:rPr>
          <w:rFonts w:hint="eastAsia" w:ascii="微软雅黑" w:hAnsi="微软雅黑" w:cs="微软雅黑"/>
          <w:b/>
          <w:bCs/>
          <w:sz w:val="32"/>
          <w:szCs w:val="24"/>
        </w:rPr>
        <w:t>竞争性磋商公告</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响</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应</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28"/>
          <w:szCs w:val="28"/>
        </w:rPr>
        <w:t>投标人：（全称并盖章）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220" w:lineRule="atLeast"/>
        <w:jc w:val="center"/>
        <w:rPr>
          <w:rFonts w:ascii="宋体" w:hAnsi="宋体" w:eastAsia="宋体"/>
          <w:b/>
          <w:sz w:val="28"/>
          <w:szCs w:val="28"/>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2.截取（截图）挂网公告放于响应文件首页</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jc w:val="center"/>
        <w:rPr>
          <w:rFonts w:ascii="微软雅黑" w:hAnsi="微软雅黑"/>
          <w:sz w:val="28"/>
          <w:szCs w:val="28"/>
        </w:rPr>
      </w:pPr>
      <w:r>
        <w:rPr>
          <w:rFonts w:hint="eastAsia" w:ascii="微软雅黑" w:hAnsi="微软雅黑"/>
          <w:sz w:val="28"/>
          <w:szCs w:val="28"/>
        </w:rPr>
        <w:t>挂网公告</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3.投标报价文件封面格式</w:t>
      </w:r>
    </w:p>
    <w:p>
      <w:pPr>
        <w:spacing w:line="220" w:lineRule="atLeast"/>
        <w:jc w:val="center"/>
        <w:rPr>
          <w:rFonts w:ascii="微软雅黑" w:hAnsi="微软雅黑" w:cs="微软雅黑"/>
          <w:b/>
          <w:bCs/>
          <w:color w:val="000000"/>
          <w:sz w:val="32"/>
          <w:szCs w:val="32"/>
          <w:shd w:val="clear" w:color="auto" w:fill="FFFFFF"/>
        </w:rPr>
      </w:pPr>
      <w:r>
        <w:rPr>
          <w:rFonts w:hint="eastAsia" w:ascii="微软雅黑" w:hAnsi="微软雅黑" w:cs="微软雅黑"/>
          <w:b/>
          <w:bCs/>
          <w:color w:val="000000"/>
          <w:sz w:val="32"/>
          <w:szCs w:val="32"/>
          <w:shd w:val="clear" w:color="auto" w:fill="FFFFFF"/>
        </w:rPr>
        <w:t>坪坝营四洞峡景区危岩防治工程勘察及设计项目</w:t>
      </w:r>
    </w:p>
    <w:p>
      <w:pPr>
        <w:spacing w:line="220" w:lineRule="atLeast"/>
        <w:jc w:val="center"/>
        <w:rPr>
          <w:rFonts w:ascii="微软雅黑" w:hAnsi="微软雅黑" w:cs="微软雅黑"/>
          <w:b/>
          <w:bCs/>
          <w:sz w:val="32"/>
          <w:szCs w:val="24"/>
        </w:rPr>
      </w:pPr>
      <w:r>
        <w:rPr>
          <w:rFonts w:hint="eastAsia" w:ascii="微软雅黑" w:hAnsi="微软雅黑" w:cs="微软雅黑"/>
          <w:b/>
          <w:bCs/>
          <w:sz w:val="32"/>
          <w:szCs w:val="24"/>
        </w:rPr>
        <w:t>竞争性磋商公告</w:t>
      </w:r>
    </w:p>
    <w:p>
      <w:pPr>
        <w:spacing w:line="220" w:lineRule="atLeast"/>
        <w:jc w:val="center"/>
        <w:rPr>
          <w:rFonts w:ascii="宋体" w:hAnsi="宋体" w:eastAsia="宋体"/>
          <w:b/>
          <w:sz w:val="32"/>
          <w:szCs w:val="28"/>
        </w:rPr>
      </w:pP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报</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价</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28"/>
          <w:szCs w:val="28"/>
        </w:rPr>
        <w:t>投标人：（全称并盖章）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3.1投标函格式</w:t>
      </w:r>
    </w:p>
    <w:p>
      <w:pPr>
        <w:spacing w:after="0" w:line="360" w:lineRule="auto"/>
        <w:jc w:val="center"/>
        <w:rPr>
          <w:rFonts w:ascii="宋体" w:hAnsi="宋体" w:eastAsia="宋体"/>
          <w:b/>
          <w:sz w:val="32"/>
          <w:szCs w:val="32"/>
        </w:rPr>
      </w:pPr>
      <w:r>
        <w:rPr>
          <w:rFonts w:hint="eastAsia" w:ascii="宋体" w:hAnsi="宋体" w:eastAsia="宋体"/>
          <w:b/>
          <w:sz w:val="32"/>
          <w:szCs w:val="32"/>
        </w:rPr>
        <w:t>投 标 函</w:t>
      </w:r>
    </w:p>
    <w:p>
      <w:pPr>
        <w:spacing w:after="0" w:line="360" w:lineRule="auto"/>
        <w:rPr>
          <w:rFonts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after="0" w:line="360" w:lineRule="auto"/>
        <w:ind w:firstLine="465"/>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项目的磋商公告及磋商文件，我方签字代表</w:t>
      </w:r>
      <w:r>
        <w:rPr>
          <w:rFonts w:hint="eastAsia" w:ascii="宋体" w:hAnsi="宋体" w:eastAsia="宋体"/>
          <w:sz w:val="24"/>
          <w:szCs w:val="24"/>
          <w:u w:val="single"/>
        </w:rPr>
        <w:t xml:space="preserve">              </w:t>
      </w:r>
      <w:r>
        <w:rPr>
          <w:rFonts w:hint="eastAsia" w:ascii="宋体" w:hAnsi="宋体" w:eastAsia="宋体"/>
          <w:sz w:val="24"/>
          <w:szCs w:val="24"/>
        </w:rPr>
        <w:t>（姓名）经正式授权并代表投标人</w:t>
      </w:r>
      <w:r>
        <w:rPr>
          <w:rFonts w:hint="eastAsia" w:ascii="宋体" w:hAnsi="宋体" w:eastAsia="宋体"/>
          <w:sz w:val="24"/>
          <w:szCs w:val="24"/>
          <w:u w:val="single"/>
        </w:rPr>
        <w:t xml:space="preserve">             </w:t>
      </w:r>
      <w:r>
        <w:rPr>
          <w:rFonts w:hint="eastAsia" w:ascii="宋体" w:hAnsi="宋体" w:eastAsia="宋体"/>
          <w:sz w:val="24"/>
          <w:szCs w:val="24"/>
        </w:rPr>
        <w:t>（投标人全称）提交本项目的投标响应文件：正本一份、副本四份。</w:t>
      </w:r>
    </w:p>
    <w:p>
      <w:pPr>
        <w:ind w:left="440" w:leftChars="200"/>
        <w:rPr>
          <w:rFonts w:ascii="宋体" w:hAnsi="宋体" w:eastAsia="宋体"/>
          <w:sz w:val="24"/>
          <w:szCs w:val="24"/>
        </w:rPr>
      </w:pPr>
      <w:r>
        <w:rPr>
          <w:rFonts w:hint="eastAsia" w:ascii="宋体" w:hAnsi="宋体" w:eastAsia="宋体"/>
          <w:sz w:val="24"/>
          <w:szCs w:val="24"/>
        </w:rPr>
        <w:t>愿意按照竞争性磋商文件中的一切要求，提供勘察设计服务，报价为：人民币￥</w:t>
      </w:r>
      <w:r>
        <w:rPr>
          <w:rFonts w:hint="eastAsia" w:ascii="宋体" w:hAnsi="宋体" w:eastAsia="宋体"/>
          <w:sz w:val="24"/>
          <w:szCs w:val="24"/>
          <w:u w:val="single"/>
        </w:rPr>
        <w:t xml:space="preserve">             </w:t>
      </w:r>
      <w:r>
        <w:rPr>
          <w:rFonts w:hint="eastAsia" w:ascii="宋体" w:hAnsi="宋体" w:eastAsia="宋体"/>
          <w:sz w:val="24"/>
          <w:szCs w:val="24"/>
        </w:rPr>
        <w:t>元（大写：</w:t>
      </w:r>
      <w:r>
        <w:rPr>
          <w:rFonts w:hint="eastAsia" w:ascii="宋体" w:hAnsi="宋体" w:eastAsia="宋体"/>
          <w:sz w:val="24"/>
          <w:szCs w:val="24"/>
          <w:u w:val="single"/>
        </w:rPr>
        <w:t xml:space="preserve">        </w:t>
      </w:r>
      <w:r>
        <w:rPr>
          <w:rFonts w:hint="eastAsia" w:ascii="宋体" w:hAnsi="宋体" w:eastAsia="宋体"/>
          <w:sz w:val="24"/>
          <w:szCs w:val="24"/>
        </w:rPr>
        <w:t>），工期</w:t>
      </w:r>
      <w:r>
        <w:rPr>
          <w:rFonts w:hint="eastAsia" w:ascii="宋体" w:hAnsi="宋体" w:eastAsia="宋体"/>
          <w:sz w:val="24"/>
          <w:szCs w:val="24"/>
          <w:u w:val="single"/>
        </w:rPr>
        <w:t xml:space="preserve">             </w:t>
      </w:r>
      <w:r>
        <w:rPr>
          <w:rFonts w:hint="eastAsia" w:ascii="宋体" w:hAnsi="宋体" w:eastAsia="宋体"/>
          <w:sz w:val="24"/>
          <w:szCs w:val="24"/>
        </w:rPr>
        <w:t>日历天。</w:t>
      </w:r>
    </w:p>
    <w:p>
      <w:pPr>
        <w:spacing w:after="0" w:line="360" w:lineRule="auto"/>
        <w:rPr>
          <w:rFonts w:ascii="宋体" w:hAnsi="宋体" w:eastAsia="宋体"/>
          <w:sz w:val="24"/>
          <w:szCs w:val="24"/>
        </w:rPr>
      </w:pPr>
      <w:r>
        <w:rPr>
          <w:rFonts w:hint="eastAsia" w:ascii="宋体" w:hAnsi="宋体" w:eastAsia="宋体"/>
          <w:sz w:val="24"/>
          <w:szCs w:val="24"/>
        </w:rPr>
        <w:t xml:space="preserve">    据此函，我方承诺如下：</w:t>
      </w:r>
    </w:p>
    <w:p>
      <w:pPr>
        <w:spacing w:after="0"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1.</w:t>
      </w:r>
      <w:r>
        <w:rPr>
          <w:rFonts w:hint="eastAsia" w:ascii="宋体" w:hAnsi="宋体" w:eastAsia="宋体"/>
          <w:sz w:val="24"/>
          <w:szCs w:val="24"/>
        </w:rPr>
        <w:t>我方已详细审查全部“磋商文件”，包括修改文件以及全部参考资料和有关附件，已经了解我方对于磋商文件、采购过程、采购结果有依法进行询问、质疑、投诉的权利及相关渠道和要求。</w:t>
      </w:r>
    </w:p>
    <w:p>
      <w:pPr>
        <w:spacing w:after="0" w:line="360" w:lineRule="auto"/>
        <w:rPr>
          <w:rFonts w:ascii="宋体" w:hAnsi="宋体" w:eastAsia="宋体"/>
          <w:sz w:val="24"/>
          <w:szCs w:val="24"/>
        </w:rPr>
      </w:pPr>
      <w:r>
        <w:rPr>
          <w:rFonts w:hint="eastAsia" w:ascii="宋体" w:hAnsi="宋体" w:eastAsia="宋体"/>
          <w:sz w:val="24"/>
          <w:szCs w:val="24"/>
        </w:rPr>
        <w:t xml:space="preserve">    2.我方完全理解并接受磋商文件的各项规定和要求，对磋商文件的合理性、合法性不再有异议。</w:t>
      </w:r>
    </w:p>
    <w:p>
      <w:pPr>
        <w:spacing w:after="0" w:line="360" w:lineRule="auto"/>
        <w:rPr>
          <w:rFonts w:ascii="宋体" w:hAnsi="宋体" w:eastAsia="宋体"/>
          <w:sz w:val="24"/>
          <w:szCs w:val="24"/>
        </w:rPr>
      </w:pPr>
      <w:r>
        <w:rPr>
          <w:rFonts w:hint="eastAsia" w:ascii="宋体" w:hAnsi="宋体" w:eastAsia="宋体"/>
          <w:sz w:val="24"/>
          <w:szCs w:val="24"/>
        </w:rPr>
        <w:t xml:space="preserve">    3.我方愿意按照磋商文件规定的各项要求，向采购人提供合格的服务。</w:t>
      </w:r>
    </w:p>
    <w:p>
      <w:pPr>
        <w:spacing w:after="0" w:line="360" w:lineRule="auto"/>
        <w:rPr>
          <w:rFonts w:ascii="宋体" w:hAnsi="宋体" w:eastAsia="宋体"/>
          <w:sz w:val="24"/>
          <w:szCs w:val="24"/>
        </w:rPr>
      </w:pPr>
      <w:r>
        <w:rPr>
          <w:rFonts w:hint="eastAsia" w:ascii="宋体" w:hAnsi="宋体" w:eastAsia="宋体"/>
          <w:sz w:val="24"/>
          <w:szCs w:val="24"/>
        </w:rPr>
        <w:t xml:space="preserve">    4.我方同意从磋商文件规定的开标日期起遵循本投标响应文件，并在磋商文件规定的磋商有效期内均具有约束力。</w:t>
      </w:r>
    </w:p>
    <w:p>
      <w:pPr>
        <w:spacing w:after="0" w:line="360" w:lineRule="auto"/>
        <w:rPr>
          <w:rFonts w:ascii="宋体" w:hAnsi="宋体" w:eastAsia="宋体"/>
          <w:sz w:val="24"/>
          <w:szCs w:val="24"/>
        </w:rPr>
      </w:pPr>
      <w:r>
        <w:rPr>
          <w:rFonts w:hint="eastAsia" w:ascii="宋体" w:hAnsi="宋体" w:eastAsia="宋体"/>
          <w:sz w:val="24"/>
          <w:szCs w:val="24"/>
        </w:rPr>
        <w:t xml:space="preserve">    5.如我方中标，本响应文件至本项目合同履行完毕止均保持有效，本投标人将按“磋商文件”及法律、法规的规定履行合同责任和义务。</w:t>
      </w:r>
    </w:p>
    <w:p>
      <w:pPr>
        <w:spacing w:after="0" w:line="360" w:lineRule="auto"/>
        <w:rPr>
          <w:rFonts w:ascii="宋体" w:hAnsi="宋体" w:eastAsia="宋体"/>
          <w:sz w:val="24"/>
          <w:szCs w:val="24"/>
        </w:rPr>
      </w:pPr>
      <w:r>
        <w:rPr>
          <w:rFonts w:hint="eastAsia" w:ascii="宋体" w:hAnsi="宋体" w:eastAsia="宋体"/>
          <w:sz w:val="24"/>
          <w:szCs w:val="24"/>
        </w:rPr>
        <w:t xml:space="preserve">    6.我方同意按照贵方要求提供与投标有关的一切数据或资料。</w:t>
      </w:r>
    </w:p>
    <w:p>
      <w:pPr>
        <w:spacing w:after="0" w:line="360" w:lineRule="auto"/>
        <w:rPr>
          <w:rFonts w:ascii="宋体" w:hAnsi="宋体" w:eastAsia="宋体"/>
          <w:sz w:val="24"/>
          <w:szCs w:val="24"/>
        </w:rPr>
      </w:pPr>
      <w:r>
        <w:rPr>
          <w:rFonts w:hint="eastAsia" w:ascii="宋体" w:hAnsi="宋体" w:eastAsia="宋体"/>
          <w:sz w:val="24"/>
          <w:szCs w:val="24"/>
        </w:rPr>
        <w:t xml:space="preserve">    7.与本投标有关的一切正式往来信函请寄：</w:t>
      </w:r>
    </w:p>
    <w:p>
      <w:pPr>
        <w:spacing w:after="0" w:line="360" w:lineRule="auto"/>
        <w:rPr>
          <w:rFonts w:ascii="宋体" w:hAnsi="宋体" w:eastAsia="宋体"/>
          <w:sz w:val="24"/>
          <w:szCs w:val="24"/>
        </w:rPr>
      </w:pPr>
      <w:r>
        <w:rPr>
          <w:rFonts w:hint="eastAsia" w:ascii="宋体" w:hAnsi="宋体" w:eastAsia="宋体"/>
          <w:sz w:val="24"/>
          <w:szCs w:val="24"/>
        </w:rPr>
        <w:t>地址：</w:t>
      </w:r>
      <w:r>
        <w:rPr>
          <w:rFonts w:hint="eastAsia" w:ascii="宋体" w:hAnsi="宋体" w:eastAsia="宋体"/>
          <w:sz w:val="24"/>
          <w:szCs w:val="24"/>
          <w:u w:val="single"/>
        </w:rPr>
        <w:t xml:space="preserve">                     </w:t>
      </w:r>
      <w:r>
        <w:rPr>
          <w:rFonts w:hint="eastAsia" w:ascii="宋体" w:hAnsi="宋体" w:eastAsia="宋体"/>
          <w:sz w:val="24"/>
          <w:szCs w:val="24"/>
        </w:rPr>
        <w:t xml:space="preserve"> 邮编：</w:t>
      </w:r>
      <w:r>
        <w:rPr>
          <w:rFonts w:hint="eastAsia" w:ascii="宋体" w:hAnsi="宋体" w:eastAsia="宋体"/>
          <w:sz w:val="24"/>
          <w:szCs w:val="24"/>
          <w:u w:val="single"/>
        </w:rPr>
        <w:t xml:space="preserve">                      </w:t>
      </w:r>
    </w:p>
    <w:p>
      <w:pPr>
        <w:spacing w:after="0" w:line="360" w:lineRule="auto"/>
        <w:rPr>
          <w:rFonts w:ascii="宋体" w:hAnsi="宋体" w:eastAsia="宋体"/>
          <w:sz w:val="24"/>
          <w:szCs w:val="24"/>
          <w:u w:val="single"/>
        </w:rPr>
      </w:pPr>
      <w:r>
        <w:rPr>
          <w:rFonts w:hint="eastAsia" w:ascii="宋体" w:hAnsi="宋体" w:eastAsia="宋体"/>
          <w:sz w:val="24"/>
          <w:szCs w:val="24"/>
        </w:rPr>
        <w:t>电话：</w:t>
      </w:r>
      <w:r>
        <w:rPr>
          <w:rFonts w:hint="eastAsia" w:ascii="宋体" w:hAnsi="宋体" w:eastAsia="宋体"/>
          <w:sz w:val="24"/>
          <w:szCs w:val="24"/>
          <w:u w:val="single"/>
        </w:rPr>
        <w:t xml:space="preserve">                </w:t>
      </w:r>
      <w:r>
        <w:rPr>
          <w:rFonts w:hint="eastAsia" w:ascii="宋体" w:hAnsi="宋体" w:eastAsia="宋体"/>
          <w:sz w:val="24"/>
          <w:szCs w:val="24"/>
        </w:rPr>
        <w:t>传真：</w:t>
      </w:r>
      <w:r>
        <w:rPr>
          <w:rFonts w:hint="eastAsia" w:ascii="宋体" w:hAnsi="宋体" w:eastAsia="宋体"/>
          <w:sz w:val="24"/>
          <w:szCs w:val="24"/>
          <w:u w:val="single"/>
        </w:rPr>
        <w:t xml:space="preserve">               </w:t>
      </w:r>
      <w:r>
        <w:rPr>
          <w:rFonts w:hint="eastAsia" w:ascii="宋体" w:hAnsi="宋体" w:eastAsia="宋体"/>
          <w:sz w:val="24"/>
          <w:szCs w:val="24"/>
        </w:rPr>
        <w:t>电子信箱：</w:t>
      </w:r>
      <w:r>
        <w:rPr>
          <w:rFonts w:hint="eastAsia" w:ascii="宋体" w:hAnsi="宋体" w:eastAsia="宋体"/>
          <w:sz w:val="24"/>
          <w:szCs w:val="24"/>
          <w:u w:val="single"/>
        </w:rPr>
        <w:t xml:space="preserve">                  </w:t>
      </w:r>
    </w:p>
    <w:p>
      <w:pPr>
        <w:spacing w:after="0" w:line="360" w:lineRule="auto"/>
        <w:rPr>
          <w:rFonts w:ascii="宋体" w:hAnsi="宋体" w:eastAsia="宋体"/>
          <w:sz w:val="24"/>
          <w:szCs w:val="24"/>
        </w:rPr>
      </w:pPr>
      <w:r>
        <w:rPr>
          <w:rFonts w:hint="eastAsia" w:ascii="宋体" w:hAnsi="宋体" w:eastAsia="宋体"/>
          <w:sz w:val="24"/>
          <w:szCs w:val="24"/>
        </w:rPr>
        <w:t>投标人（公章）：</w:t>
      </w:r>
    </w:p>
    <w:p>
      <w:pPr>
        <w:spacing w:after="0" w:line="360" w:lineRule="auto"/>
        <w:rPr>
          <w:rFonts w:ascii="宋体" w:hAnsi="宋体" w:eastAsia="宋体"/>
          <w:sz w:val="24"/>
          <w:szCs w:val="24"/>
        </w:rPr>
      </w:pPr>
      <w:r>
        <w:rPr>
          <w:rFonts w:hint="eastAsia" w:ascii="宋体" w:hAnsi="宋体" w:eastAsia="宋体"/>
          <w:sz w:val="24"/>
          <w:szCs w:val="24"/>
        </w:rPr>
        <w:t>法定代表人或委托代理人（签名）：</w:t>
      </w:r>
    </w:p>
    <w:p>
      <w:pPr>
        <w:spacing w:after="0" w:line="360" w:lineRule="auto"/>
        <w:rPr>
          <w:rFonts w:ascii="宋体" w:hAnsi="宋体" w:eastAsia="宋体"/>
          <w:sz w:val="24"/>
          <w:szCs w:val="24"/>
        </w:rPr>
      </w:pPr>
      <w:r>
        <w:rPr>
          <w:rFonts w:hint="eastAsia" w:ascii="宋体" w:hAnsi="宋体" w:eastAsia="宋体"/>
          <w:sz w:val="24"/>
          <w:szCs w:val="24"/>
        </w:rPr>
        <w:t>日期：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3.2报价书</w:t>
      </w:r>
    </w:p>
    <w:p>
      <w:pPr>
        <w:spacing w:after="0" w:line="360" w:lineRule="auto"/>
        <w:jc w:val="center"/>
        <w:rPr>
          <w:rFonts w:ascii="宋体" w:hAnsi="宋体" w:eastAsia="宋体"/>
          <w:sz w:val="24"/>
          <w:szCs w:val="24"/>
        </w:rPr>
      </w:pPr>
      <w:r>
        <w:rPr>
          <w:rFonts w:hint="eastAsia" w:ascii="仿宋" w:hAnsi="仿宋" w:eastAsia="仿宋"/>
          <w:b/>
          <w:bCs/>
          <w:sz w:val="28"/>
          <w:szCs w:val="28"/>
        </w:rPr>
        <w:t>坪坝营四洞峡风景区危岩调查与防治项目勘察设计投标报价表</w:t>
      </w:r>
    </w:p>
    <w:tbl>
      <w:tblPr>
        <w:tblStyle w:val="25"/>
        <w:tblW w:w="8522" w:type="dxa"/>
        <w:tblInd w:w="0" w:type="dxa"/>
        <w:tblLayout w:type="fixed"/>
        <w:tblCellMar>
          <w:top w:w="0" w:type="dxa"/>
          <w:left w:w="108" w:type="dxa"/>
          <w:bottom w:w="0" w:type="dxa"/>
          <w:right w:w="108" w:type="dxa"/>
        </w:tblCellMar>
      </w:tblPr>
      <w:tblGrid>
        <w:gridCol w:w="904"/>
        <w:gridCol w:w="60"/>
        <w:gridCol w:w="1412"/>
        <w:gridCol w:w="2977"/>
        <w:gridCol w:w="851"/>
        <w:gridCol w:w="850"/>
        <w:gridCol w:w="756"/>
        <w:gridCol w:w="712"/>
      </w:tblGrid>
      <w:tr>
        <w:tblPrEx>
          <w:tblLayout w:type="fixed"/>
          <w:tblCellMar>
            <w:top w:w="0" w:type="dxa"/>
            <w:left w:w="108" w:type="dxa"/>
            <w:bottom w:w="0" w:type="dxa"/>
            <w:right w:w="108" w:type="dxa"/>
          </w:tblCellMar>
        </w:tblPrEx>
        <w:trPr>
          <w:trHeight w:val="315" w:hRule="atLeast"/>
        </w:trPr>
        <w:tc>
          <w:tcPr>
            <w:tcW w:w="9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sz w:val="18"/>
                <w:szCs w:val="18"/>
              </w:rPr>
            </w:pPr>
            <w:r>
              <w:rPr>
                <w:rFonts w:hint="eastAsia" w:ascii="宋体" w:hAnsi="宋体" w:cs="宋体"/>
                <w:bCs/>
                <w:color w:val="000000"/>
                <w:sz w:val="18"/>
                <w:szCs w:val="18"/>
              </w:rPr>
              <w:t>一级指标</w:t>
            </w:r>
          </w:p>
        </w:tc>
        <w:tc>
          <w:tcPr>
            <w:tcW w:w="1412"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sz w:val="18"/>
                <w:szCs w:val="18"/>
              </w:rPr>
            </w:pPr>
            <w:r>
              <w:rPr>
                <w:rFonts w:hint="eastAsia" w:ascii="宋体" w:hAnsi="宋体" w:cs="宋体"/>
                <w:bCs/>
                <w:color w:val="000000"/>
                <w:sz w:val="18"/>
                <w:szCs w:val="18"/>
              </w:rPr>
              <w:t>二级指标</w:t>
            </w:r>
          </w:p>
        </w:tc>
        <w:tc>
          <w:tcPr>
            <w:tcW w:w="2977"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sz w:val="18"/>
                <w:szCs w:val="18"/>
              </w:rPr>
            </w:pPr>
            <w:r>
              <w:rPr>
                <w:rFonts w:hint="eastAsia" w:ascii="宋体" w:hAnsi="宋体" w:cs="宋体"/>
                <w:bCs/>
                <w:color w:val="000000"/>
                <w:sz w:val="18"/>
                <w:szCs w:val="18"/>
              </w:rPr>
              <w:t>三级指标</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sz w:val="18"/>
                <w:szCs w:val="18"/>
              </w:rPr>
            </w:pPr>
            <w:r>
              <w:rPr>
                <w:rFonts w:hint="eastAsia" w:ascii="宋体" w:hAnsi="宋体" w:cs="宋体"/>
                <w:bCs/>
                <w:color w:val="000000"/>
                <w:sz w:val="18"/>
                <w:szCs w:val="18"/>
              </w:rPr>
              <w:t>工作量</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sz w:val="18"/>
                <w:szCs w:val="18"/>
              </w:rPr>
            </w:pPr>
            <w:r>
              <w:rPr>
                <w:rFonts w:hint="eastAsia" w:ascii="宋体" w:hAnsi="宋体" w:cs="宋体"/>
                <w:bCs/>
                <w:color w:val="000000"/>
                <w:sz w:val="18"/>
                <w:szCs w:val="18"/>
              </w:rPr>
              <w:t>单位</w:t>
            </w:r>
          </w:p>
        </w:tc>
        <w:tc>
          <w:tcPr>
            <w:tcW w:w="756"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sz w:val="18"/>
                <w:szCs w:val="18"/>
              </w:rPr>
            </w:pPr>
            <w:r>
              <w:rPr>
                <w:rFonts w:hint="eastAsia" w:ascii="宋体" w:hAnsi="宋体" w:cs="宋体"/>
                <w:bCs/>
                <w:color w:val="000000"/>
                <w:sz w:val="18"/>
                <w:szCs w:val="18"/>
              </w:rPr>
              <w:t>单价（元）</w:t>
            </w:r>
          </w:p>
        </w:tc>
        <w:tc>
          <w:tcPr>
            <w:tcW w:w="712"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sz w:val="18"/>
                <w:szCs w:val="18"/>
              </w:rPr>
            </w:pPr>
            <w:r>
              <w:rPr>
                <w:rFonts w:hint="eastAsia" w:ascii="宋体" w:hAnsi="宋体" w:cs="宋体"/>
                <w:bCs/>
                <w:color w:val="000000"/>
                <w:sz w:val="18"/>
                <w:szCs w:val="18"/>
              </w:rPr>
              <w:t>小计</w:t>
            </w:r>
          </w:p>
        </w:tc>
      </w:tr>
      <w:tr>
        <w:tblPrEx>
          <w:tblLayout w:type="fixed"/>
          <w:tblCellMar>
            <w:top w:w="0" w:type="dxa"/>
            <w:left w:w="108" w:type="dxa"/>
            <w:bottom w:w="0" w:type="dxa"/>
            <w:right w:w="108" w:type="dxa"/>
          </w:tblCellMar>
        </w:tblPrEx>
        <w:trPr>
          <w:trHeight w:val="315" w:hRule="atLeast"/>
        </w:trPr>
        <w:tc>
          <w:tcPr>
            <w:tcW w:w="964"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危岩调查、勘察测绘</w:t>
            </w:r>
          </w:p>
        </w:tc>
        <w:tc>
          <w:tcPr>
            <w:tcW w:w="1412"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三维数字测量及资料整理</w:t>
            </w:r>
          </w:p>
        </w:tc>
        <w:tc>
          <w:tcPr>
            <w:tcW w:w="2977"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控制点</w:t>
            </w:r>
          </w:p>
        </w:tc>
        <w:tc>
          <w:tcPr>
            <w:tcW w:w="851"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16</w:t>
            </w:r>
          </w:p>
        </w:tc>
        <w:tc>
          <w:tcPr>
            <w:tcW w:w="850"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点</w:t>
            </w:r>
          </w:p>
        </w:tc>
        <w:tc>
          <w:tcPr>
            <w:tcW w:w="756" w:type="dxa"/>
            <w:tcBorders>
              <w:top w:val="nil"/>
              <w:left w:val="nil"/>
              <w:bottom w:val="single" w:color="auto" w:sz="4" w:space="0"/>
              <w:right w:val="single" w:color="auto" w:sz="4" w:space="0"/>
            </w:tcBorders>
            <w:vAlign w:val="center"/>
          </w:tcPr>
          <w:p>
            <w:pPr>
              <w:jc w:val="center"/>
              <w:rPr>
                <w:rFonts w:ascii="宋体" w:hAnsi="宋体" w:cs="宋体"/>
                <w:color w:val="000000"/>
              </w:rPr>
            </w:pPr>
          </w:p>
        </w:tc>
        <w:tc>
          <w:tcPr>
            <w:tcW w:w="712" w:type="dxa"/>
            <w:tcBorders>
              <w:top w:val="nil"/>
              <w:left w:val="nil"/>
              <w:bottom w:val="single" w:color="auto" w:sz="4" w:space="0"/>
              <w:right w:val="single" w:color="auto" w:sz="4" w:space="0"/>
            </w:tcBorders>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585" w:hRule="atLeast"/>
        </w:trPr>
        <w:tc>
          <w:tcPr>
            <w:tcW w:w="964" w:type="dxa"/>
            <w:gridSpan w:val="2"/>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p>
        </w:tc>
        <w:tc>
          <w:tcPr>
            <w:tcW w:w="1412"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p>
        </w:tc>
        <w:tc>
          <w:tcPr>
            <w:tcW w:w="2977"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数字正射影像图调绘及图件制作（1：1000）</w:t>
            </w:r>
          </w:p>
        </w:tc>
        <w:tc>
          <w:tcPr>
            <w:tcW w:w="851"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1.5</w:t>
            </w:r>
          </w:p>
        </w:tc>
        <w:tc>
          <w:tcPr>
            <w:tcW w:w="850"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km</w:t>
            </w:r>
            <w:r>
              <w:rPr>
                <w:rFonts w:hint="eastAsia" w:ascii="宋体" w:hAnsi="宋体" w:cs="宋体"/>
                <w:color w:val="000000"/>
                <w:sz w:val="18"/>
                <w:szCs w:val="18"/>
                <w:vertAlign w:val="superscript"/>
              </w:rPr>
              <w:t>2</w:t>
            </w:r>
          </w:p>
        </w:tc>
        <w:tc>
          <w:tcPr>
            <w:tcW w:w="756" w:type="dxa"/>
            <w:tcBorders>
              <w:top w:val="nil"/>
              <w:left w:val="nil"/>
              <w:bottom w:val="single" w:color="auto" w:sz="4" w:space="0"/>
              <w:right w:val="single" w:color="auto" w:sz="4" w:space="0"/>
            </w:tcBorders>
            <w:vAlign w:val="center"/>
          </w:tcPr>
          <w:p>
            <w:pPr>
              <w:jc w:val="center"/>
              <w:rPr>
                <w:rFonts w:ascii="宋体" w:hAnsi="宋体" w:cs="宋体"/>
                <w:color w:val="000000"/>
              </w:rPr>
            </w:pPr>
          </w:p>
        </w:tc>
        <w:tc>
          <w:tcPr>
            <w:tcW w:w="712" w:type="dxa"/>
            <w:tcBorders>
              <w:top w:val="nil"/>
              <w:left w:val="nil"/>
              <w:bottom w:val="single" w:color="auto" w:sz="4" w:space="0"/>
              <w:right w:val="single" w:color="auto" w:sz="4" w:space="0"/>
            </w:tcBorders>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293" w:hRule="atLeast"/>
        </w:trPr>
        <w:tc>
          <w:tcPr>
            <w:tcW w:w="964" w:type="dxa"/>
            <w:gridSpan w:val="2"/>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p>
        </w:tc>
        <w:tc>
          <w:tcPr>
            <w:tcW w:w="1412"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p>
        </w:tc>
        <w:tc>
          <w:tcPr>
            <w:tcW w:w="297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数字正射影像图调绘及图件制作（1:200）</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0.45</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km</w:t>
            </w:r>
            <w:r>
              <w:rPr>
                <w:rFonts w:hint="eastAsia" w:ascii="宋体" w:hAnsi="宋体" w:cs="宋体"/>
                <w:color w:val="000000"/>
                <w:sz w:val="18"/>
                <w:szCs w:val="18"/>
                <w:vertAlign w:val="superscript"/>
              </w:rPr>
              <w:t>2</w:t>
            </w:r>
          </w:p>
        </w:tc>
        <w:tc>
          <w:tcPr>
            <w:tcW w:w="75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p>
        </w:tc>
        <w:tc>
          <w:tcPr>
            <w:tcW w:w="712" w:type="dxa"/>
            <w:tcBorders>
              <w:top w:val="single" w:color="auto" w:sz="4" w:space="0"/>
              <w:left w:val="nil"/>
              <w:bottom w:val="single" w:color="auto" w:sz="4" w:space="0"/>
              <w:right w:val="single" w:color="auto" w:sz="4" w:space="0"/>
            </w:tcBorders>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456" w:hRule="atLeast"/>
        </w:trPr>
        <w:tc>
          <w:tcPr>
            <w:tcW w:w="964" w:type="dxa"/>
            <w:gridSpan w:val="2"/>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p>
        </w:tc>
        <w:tc>
          <w:tcPr>
            <w:tcW w:w="1412"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p>
        </w:tc>
        <w:tc>
          <w:tcPr>
            <w:tcW w:w="2977"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工程地质测绘（1:1000）</w:t>
            </w:r>
          </w:p>
        </w:tc>
        <w:tc>
          <w:tcPr>
            <w:tcW w:w="851"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1.5</w:t>
            </w:r>
          </w:p>
        </w:tc>
        <w:tc>
          <w:tcPr>
            <w:tcW w:w="850"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km</w:t>
            </w:r>
            <w:r>
              <w:rPr>
                <w:rFonts w:hint="eastAsia" w:ascii="宋体" w:hAnsi="宋体" w:cs="宋体"/>
                <w:color w:val="000000"/>
                <w:sz w:val="18"/>
                <w:szCs w:val="18"/>
                <w:vertAlign w:val="superscript"/>
              </w:rPr>
              <w:t>2</w:t>
            </w:r>
          </w:p>
        </w:tc>
        <w:tc>
          <w:tcPr>
            <w:tcW w:w="756" w:type="dxa"/>
            <w:tcBorders>
              <w:top w:val="nil"/>
              <w:left w:val="nil"/>
              <w:bottom w:val="single" w:color="auto" w:sz="4" w:space="0"/>
              <w:right w:val="single" w:color="auto" w:sz="4" w:space="0"/>
            </w:tcBorders>
            <w:vAlign w:val="center"/>
          </w:tcPr>
          <w:p>
            <w:pPr>
              <w:jc w:val="center"/>
              <w:rPr>
                <w:rFonts w:ascii="宋体" w:hAnsi="宋体" w:cs="宋体"/>
                <w:color w:val="000000"/>
              </w:rPr>
            </w:pPr>
          </w:p>
        </w:tc>
        <w:tc>
          <w:tcPr>
            <w:tcW w:w="712" w:type="dxa"/>
            <w:tcBorders>
              <w:top w:val="nil"/>
              <w:left w:val="nil"/>
              <w:bottom w:val="single" w:color="auto" w:sz="4" w:space="0"/>
              <w:right w:val="single" w:color="auto" w:sz="4" w:space="0"/>
            </w:tcBorders>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287" w:hRule="atLeast"/>
        </w:trPr>
        <w:tc>
          <w:tcPr>
            <w:tcW w:w="964" w:type="dxa"/>
            <w:gridSpan w:val="2"/>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p>
        </w:tc>
        <w:tc>
          <w:tcPr>
            <w:tcW w:w="1412" w:type="dxa"/>
            <w:vMerge w:val="continue"/>
            <w:tcBorders>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p>
        </w:tc>
        <w:tc>
          <w:tcPr>
            <w:tcW w:w="297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典型个体危岩体调查（1:200）</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0.45</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km</w:t>
            </w:r>
            <w:r>
              <w:rPr>
                <w:rFonts w:hint="eastAsia" w:ascii="宋体" w:hAnsi="宋体" w:cs="宋体"/>
                <w:color w:val="000000"/>
                <w:sz w:val="18"/>
                <w:szCs w:val="18"/>
                <w:vertAlign w:val="superscript"/>
              </w:rPr>
              <w:t>2</w:t>
            </w:r>
          </w:p>
        </w:tc>
        <w:tc>
          <w:tcPr>
            <w:tcW w:w="75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p>
        </w:tc>
        <w:tc>
          <w:tcPr>
            <w:tcW w:w="712" w:type="dxa"/>
            <w:tcBorders>
              <w:top w:val="single" w:color="auto" w:sz="4" w:space="0"/>
              <w:left w:val="nil"/>
              <w:bottom w:val="single" w:color="auto" w:sz="4" w:space="0"/>
              <w:right w:val="single" w:color="auto" w:sz="4" w:space="0"/>
            </w:tcBorders>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15" w:hRule="atLeast"/>
        </w:trPr>
        <w:tc>
          <w:tcPr>
            <w:tcW w:w="7810" w:type="dxa"/>
            <w:gridSpan w:val="7"/>
            <w:tcBorders>
              <w:top w:val="nil"/>
              <w:left w:val="single" w:color="auto" w:sz="4" w:space="0"/>
              <w:bottom w:val="single" w:color="000000" w:sz="4" w:space="0"/>
              <w:right w:val="single" w:color="auto" w:sz="4" w:space="0"/>
            </w:tcBorders>
            <w:vAlign w:val="center"/>
          </w:tcPr>
          <w:p>
            <w:pPr>
              <w:jc w:val="center"/>
              <w:rPr>
                <w:rFonts w:ascii="宋体" w:hAnsi="宋体" w:cs="宋体"/>
                <w:b/>
                <w:color w:val="000000"/>
                <w:sz w:val="18"/>
                <w:szCs w:val="18"/>
              </w:rPr>
            </w:pPr>
            <w:r>
              <w:rPr>
                <w:rFonts w:hint="eastAsia" w:ascii="宋体" w:hAnsi="宋体" w:cs="宋体"/>
                <w:b/>
                <w:color w:val="000000"/>
                <w:sz w:val="18"/>
                <w:szCs w:val="18"/>
              </w:rPr>
              <w:t>合计</w:t>
            </w:r>
          </w:p>
        </w:tc>
        <w:tc>
          <w:tcPr>
            <w:tcW w:w="712" w:type="dxa"/>
            <w:tcBorders>
              <w:top w:val="nil"/>
              <w:left w:val="nil"/>
              <w:bottom w:val="single" w:color="auto" w:sz="4" w:space="0"/>
              <w:right w:val="single" w:color="auto" w:sz="4" w:space="0"/>
            </w:tcBorders>
          </w:tcPr>
          <w:p>
            <w:pPr>
              <w:jc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315" w:hRule="atLeast"/>
        </w:trPr>
        <w:tc>
          <w:tcPr>
            <w:tcW w:w="904" w:type="dxa"/>
            <w:vMerge w:val="restart"/>
            <w:tcBorders>
              <w:top w:val="nil"/>
              <w:left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危岩防治设计</w:t>
            </w:r>
          </w:p>
        </w:tc>
        <w:tc>
          <w:tcPr>
            <w:tcW w:w="6150"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防治方案拟定及论证</w:t>
            </w:r>
          </w:p>
        </w:tc>
        <w:tc>
          <w:tcPr>
            <w:tcW w:w="756" w:type="dxa"/>
            <w:tcBorders>
              <w:top w:val="nil"/>
              <w:left w:val="nil"/>
              <w:bottom w:val="single" w:color="auto" w:sz="4" w:space="0"/>
              <w:right w:val="single" w:color="auto" w:sz="4" w:space="0"/>
            </w:tcBorders>
            <w:vAlign w:val="center"/>
          </w:tcPr>
          <w:p>
            <w:pPr>
              <w:jc w:val="center"/>
              <w:rPr>
                <w:rFonts w:ascii="宋体" w:hAnsi="宋体" w:cs="宋体"/>
                <w:color w:val="000000"/>
              </w:rPr>
            </w:pPr>
          </w:p>
        </w:tc>
        <w:tc>
          <w:tcPr>
            <w:tcW w:w="712" w:type="dxa"/>
            <w:tcBorders>
              <w:top w:val="nil"/>
              <w:left w:val="nil"/>
              <w:bottom w:val="single" w:color="auto" w:sz="4" w:space="0"/>
              <w:right w:val="single" w:color="auto" w:sz="4" w:space="0"/>
            </w:tcBorders>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15" w:hRule="atLeast"/>
        </w:trPr>
        <w:tc>
          <w:tcPr>
            <w:tcW w:w="904" w:type="dxa"/>
            <w:vMerge w:val="continue"/>
            <w:tcBorders>
              <w:left w:val="single" w:color="auto" w:sz="4" w:space="0"/>
              <w:right w:val="single" w:color="auto" w:sz="4" w:space="0"/>
            </w:tcBorders>
            <w:vAlign w:val="center"/>
          </w:tcPr>
          <w:p>
            <w:pPr>
              <w:jc w:val="center"/>
              <w:rPr>
                <w:rFonts w:ascii="宋体" w:hAnsi="宋体" w:cs="宋体"/>
                <w:color w:val="000000"/>
                <w:sz w:val="18"/>
                <w:szCs w:val="18"/>
              </w:rPr>
            </w:pPr>
          </w:p>
        </w:tc>
        <w:tc>
          <w:tcPr>
            <w:tcW w:w="6150"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防治方案即施工图设计</w:t>
            </w:r>
          </w:p>
        </w:tc>
        <w:tc>
          <w:tcPr>
            <w:tcW w:w="756" w:type="dxa"/>
            <w:tcBorders>
              <w:top w:val="nil"/>
              <w:left w:val="nil"/>
              <w:bottom w:val="single" w:color="auto" w:sz="4" w:space="0"/>
              <w:right w:val="single" w:color="auto" w:sz="4" w:space="0"/>
            </w:tcBorders>
            <w:vAlign w:val="center"/>
          </w:tcPr>
          <w:p>
            <w:pPr>
              <w:jc w:val="center"/>
              <w:rPr>
                <w:rFonts w:ascii="宋体" w:hAnsi="宋体" w:cs="宋体"/>
                <w:color w:val="000000"/>
              </w:rPr>
            </w:pPr>
          </w:p>
        </w:tc>
        <w:tc>
          <w:tcPr>
            <w:tcW w:w="712" w:type="dxa"/>
            <w:tcBorders>
              <w:top w:val="nil"/>
              <w:left w:val="nil"/>
              <w:bottom w:val="single" w:color="auto" w:sz="4" w:space="0"/>
              <w:right w:val="single" w:color="auto" w:sz="4" w:space="0"/>
            </w:tcBorders>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15" w:hRule="atLeast"/>
        </w:trPr>
        <w:tc>
          <w:tcPr>
            <w:tcW w:w="904"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6150"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防治方案即施工图评审、修改</w:t>
            </w:r>
          </w:p>
        </w:tc>
        <w:tc>
          <w:tcPr>
            <w:tcW w:w="756" w:type="dxa"/>
            <w:tcBorders>
              <w:top w:val="nil"/>
              <w:left w:val="nil"/>
              <w:bottom w:val="single" w:color="auto" w:sz="4" w:space="0"/>
              <w:right w:val="single" w:color="auto" w:sz="4" w:space="0"/>
            </w:tcBorders>
            <w:vAlign w:val="center"/>
          </w:tcPr>
          <w:p>
            <w:pPr>
              <w:jc w:val="center"/>
              <w:rPr>
                <w:rFonts w:ascii="宋体" w:hAnsi="宋体" w:cs="宋体"/>
                <w:color w:val="000000"/>
              </w:rPr>
            </w:pPr>
          </w:p>
        </w:tc>
        <w:tc>
          <w:tcPr>
            <w:tcW w:w="712" w:type="dxa"/>
            <w:tcBorders>
              <w:top w:val="nil"/>
              <w:left w:val="nil"/>
              <w:bottom w:val="single" w:color="auto" w:sz="4" w:space="0"/>
              <w:right w:val="single" w:color="auto" w:sz="4" w:space="0"/>
            </w:tcBorders>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15" w:hRule="atLeast"/>
        </w:trPr>
        <w:tc>
          <w:tcPr>
            <w:tcW w:w="7810" w:type="dxa"/>
            <w:gridSpan w:val="7"/>
            <w:tcBorders>
              <w:top w:val="nil"/>
              <w:left w:val="single" w:color="auto" w:sz="4" w:space="0"/>
              <w:bottom w:val="single" w:color="auto" w:sz="4" w:space="0"/>
              <w:right w:val="single" w:color="auto" w:sz="4" w:space="0"/>
            </w:tcBorders>
            <w:vAlign w:val="center"/>
          </w:tcPr>
          <w:p>
            <w:pPr>
              <w:jc w:val="center"/>
              <w:rPr>
                <w:rFonts w:ascii="宋体" w:hAnsi="宋体" w:cs="宋体"/>
                <w:b/>
                <w:color w:val="000000"/>
                <w:sz w:val="18"/>
                <w:szCs w:val="18"/>
              </w:rPr>
            </w:pPr>
            <w:r>
              <w:rPr>
                <w:rFonts w:hint="eastAsia" w:ascii="宋体" w:hAnsi="宋体" w:cs="宋体"/>
                <w:b/>
                <w:color w:val="000000"/>
                <w:sz w:val="18"/>
                <w:szCs w:val="18"/>
              </w:rPr>
              <w:t>合计</w:t>
            </w:r>
          </w:p>
        </w:tc>
        <w:tc>
          <w:tcPr>
            <w:tcW w:w="712" w:type="dxa"/>
            <w:tcBorders>
              <w:top w:val="nil"/>
              <w:left w:val="nil"/>
              <w:bottom w:val="single" w:color="auto" w:sz="4" w:space="0"/>
              <w:right w:val="single" w:color="auto" w:sz="4" w:space="0"/>
            </w:tcBorders>
          </w:tcPr>
          <w:p>
            <w:pPr>
              <w:jc w:val="center"/>
              <w:rPr>
                <w:rFonts w:ascii="宋体" w:hAnsi="宋体" w:cs="宋体"/>
                <w:color w:val="000000"/>
              </w:rPr>
            </w:pPr>
          </w:p>
        </w:tc>
      </w:tr>
      <w:tr>
        <w:tblPrEx>
          <w:tblLayout w:type="fixed"/>
          <w:tblCellMar>
            <w:top w:w="0" w:type="dxa"/>
            <w:left w:w="108" w:type="dxa"/>
            <w:bottom w:w="0" w:type="dxa"/>
            <w:right w:w="108" w:type="dxa"/>
          </w:tblCellMar>
        </w:tblPrEx>
        <w:trPr>
          <w:trHeight w:val="315" w:hRule="atLeast"/>
        </w:trPr>
        <w:tc>
          <w:tcPr>
            <w:tcW w:w="7810" w:type="dxa"/>
            <w:gridSpan w:val="7"/>
            <w:tcBorders>
              <w:top w:val="nil"/>
              <w:left w:val="single" w:color="auto" w:sz="4" w:space="0"/>
              <w:bottom w:val="single" w:color="auto" w:sz="4" w:space="0"/>
              <w:right w:val="single" w:color="auto" w:sz="4" w:space="0"/>
            </w:tcBorders>
            <w:vAlign w:val="center"/>
          </w:tcPr>
          <w:p>
            <w:pPr>
              <w:jc w:val="center"/>
              <w:rPr>
                <w:rFonts w:ascii="宋体" w:hAnsi="宋体" w:cs="宋体"/>
                <w:b/>
                <w:color w:val="000000"/>
                <w:sz w:val="21"/>
                <w:szCs w:val="21"/>
              </w:rPr>
            </w:pPr>
            <w:r>
              <w:rPr>
                <w:rFonts w:hint="eastAsia" w:ascii="宋体" w:hAnsi="宋体" w:cs="宋体"/>
                <w:b/>
                <w:color w:val="000000"/>
                <w:sz w:val="21"/>
                <w:szCs w:val="21"/>
              </w:rPr>
              <w:t>总计</w:t>
            </w:r>
          </w:p>
        </w:tc>
        <w:tc>
          <w:tcPr>
            <w:tcW w:w="712" w:type="dxa"/>
            <w:tcBorders>
              <w:top w:val="nil"/>
              <w:left w:val="nil"/>
              <w:bottom w:val="single" w:color="auto" w:sz="4" w:space="0"/>
              <w:right w:val="single" w:color="auto" w:sz="4" w:space="0"/>
            </w:tcBorders>
          </w:tcPr>
          <w:p>
            <w:pPr>
              <w:jc w:val="center"/>
              <w:rPr>
                <w:rFonts w:ascii="宋体" w:hAnsi="宋体" w:cs="宋体"/>
                <w:color w:val="000000"/>
              </w:rPr>
            </w:pPr>
          </w:p>
        </w:tc>
      </w:tr>
    </w:tbl>
    <w:p>
      <w:pPr>
        <w:spacing w:after="0" w:line="360" w:lineRule="auto"/>
        <w:rPr>
          <w:rFonts w:ascii="宋体" w:hAnsi="宋体" w:eastAsia="宋体"/>
          <w:sz w:val="24"/>
          <w:szCs w:val="24"/>
        </w:rPr>
      </w:pPr>
      <w:r>
        <w:rPr>
          <w:rFonts w:hint="eastAsia" w:ascii="宋体" w:hAnsi="宋体" w:eastAsia="宋体"/>
          <w:sz w:val="24"/>
          <w:szCs w:val="24"/>
        </w:rPr>
        <w:t>注：勘察、设计费计费依据《工程勘察设计收费标准》（2002修订本）编制投标报价表。</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4.商务文件封面格式</w:t>
      </w:r>
    </w:p>
    <w:p>
      <w:pPr>
        <w:spacing w:line="220" w:lineRule="atLeast"/>
        <w:jc w:val="center"/>
        <w:rPr>
          <w:rFonts w:ascii="微软雅黑" w:hAnsi="微软雅黑" w:cs="微软雅黑"/>
          <w:b/>
          <w:bCs/>
          <w:color w:val="000000"/>
          <w:sz w:val="32"/>
          <w:szCs w:val="32"/>
          <w:shd w:val="clear" w:color="auto" w:fill="FFFFFF"/>
        </w:rPr>
      </w:pPr>
      <w:r>
        <w:rPr>
          <w:rFonts w:hint="eastAsia" w:ascii="微软雅黑" w:hAnsi="微软雅黑" w:cs="微软雅黑"/>
          <w:b/>
          <w:bCs/>
          <w:color w:val="000000"/>
          <w:sz w:val="32"/>
          <w:szCs w:val="32"/>
          <w:shd w:val="clear" w:color="auto" w:fill="FFFFFF"/>
        </w:rPr>
        <w:t>坪坝营四洞峡景区危岩防治工程勘察及设计项目</w:t>
      </w:r>
    </w:p>
    <w:p>
      <w:pPr>
        <w:spacing w:line="220" w:lineRule="atLeast"/>
        <w:jc w:val="center"/>
        <w:rPr>
          <w:rFonts w:ascii="微软雅黑" w:hAnsi="微软雅黑" w:cs="微软雅黑"/>
          <w:b/>
          <w:bCs/>
          <w:sz w:val="32"/>
          <w:szCs w:val="24"/>
        </w:rPr>
      </w:pPr>
      <w:r>
        <w:rPr>
          <w:rFonts w:hint="eastAsia" w:ascii="微软雅黑" w:hAnsi="微软雅黑" w:cs="微软雅黑"/>
          <w:b/>
          <w:bCs/>
          <w:sz w:val="32"/>
          <w:szCs w:val="24"/>
        </w:rPr>
        <w:t>竞争性磋商公告</w:t>
      </w:r>
      <w:bookmarkStart w:id="40" w:name="_GoBack"/>
      <w:bookmarkEnd w:id="40"/>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商</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务</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28"/>
          <w:szCs w:val="28"/>
        </w:rPr>
        <w:t>投标人：（全称并盖章）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4.1商务文件目录</w:t>
      </w:r>
    </w:p>
    <w:p>
      <w:pPr>
        <w:spacing w:line="220" w:lineRule="atLeast"/>
        <w:rPr>
          <w:rFonts w:ascii="宋体" w:hAnsi="宋体" w:eastAsia="宋体"/>
          <w:sz w:val="24"/>
          <w:szCs w:val="24"/>
        </w:rPr>
      </w:pPr>
      <w:r>
        <w:rPr>
          <w:rFonts w:hint="eastAsia" w:ascii="宋体" w:hAnsi="宋体" w:eastAsia="宋体"/>
          <w:sz w:val="24"/>
          <w:szCs w:val="24"/>
        </w:rPr>
        <w:t>（1）法定代表人授权委托书（格式附后）</w:t>
      </w:r>
    </w:p>
    <w:p>
      <w:pPr>
        <w:spacing w:line="220" w:lineRule="atLeast"/>
        <w:rPr>
          <w:rFonts w:ascii="宋体" w:hAnsi="宋体" w:eastAsia="宋体"/>
          <w:sz w:val="24"/>
          <w:szCs w:val="24"/>
        </w:rPr>
      </w:pPr>
      <w:r>
        <w:rPr>
          <w:rFonts w:hint="eastAsia" w:ascii="宋体" w:hAnsi="宋体" w:eastAsia="宋体"/>
          <w:sz w:val="24"/>
          <w:szCs w:val="24"/>
        </w:rPr>
        <w:t>（2）证明投标人合格的资格文件</w:t>
      </w:r>
    </w:p>
    <w:p>
      <w:pPr>
        <w:spacing w:line="220" w:lineRule="atLeast"/>
        <w:rPr>
          <w:rFonts w:ascii="宋体" w:hAnsi="宋体" w:eastAsia="宋体"/>
          <w:sz w:val="24"/>
          <w:szCs w:val="24"/>
        </w:rPr>
      </w:pPr>
      <w:r>
        <w:rPr>
          <w:rFonts w:hint="eastAsia" w:ascii="宋体" w:hAnsi="宋体" w:eastAsia="宋体"/>
          <w:sz w:val="24"/>
          <w:szCs w:val="24"/>
        </w:rPr>
        <w:t>（3）投标人业绩</w:t>
      </w:r>
    </w:p>
    <w:p>
      <w:pPr>
        <w:spacing w:after="0" w:line="360" w:lineRule="auto"/>
        <w:jc w:val="both"/>
        <w:rPr>
          <w:rFonts w:ascii="宋体" w:hAnsi="宋体" w:eastAsia="宋体"/>
          <w:sz w:val="24"/>
          <w:szCs w:val="24"/>
        </w:rPr>
      </w:pPr>
      <w:r>
        <w:rPr>
          <w:rFonts w:hint="eastAsia" w:ascii="宋体" w:hAnsi="宋体" w:eastAsia="宋体"/>
          <w:kern w:val="10"/>
          <w:sz w:val="24"/>
          <w:szCs w:val="24"/>
        </w:rPr>
        <w:t>（4）投标人在参加投标活动前三年内，在经营活动中没有重大违法记录（提供书面声明）；没有不良行为记录（提供全国建筑市场监管公共服务平台查询记录截图及信用中国查询截图）。</w:t>
      </w:r>
    </w:p>
    <w:p>
      <w:pPr>
        <w:spacing w:after="0" w:line="360" w:lineRule="auto"/>
        <w:jc w:val="both"/>
        <w:rPr>
          <w:rFonts w:ascii="宋体" w:hAnsi="宋体" w:eastAsia="宋体"/>
          <w:sz w:val="24"/>
          <w:szCs w:val="24"/>
        </w:rPr>
      </w:pPr>
      <w:r>
        <w:rPr>
          <w:rFonts w:hint="eastAsia" w:ascii="宋体" w:hAnsi="宋体" w:eastAsia="宋体"/>
          <w:sz w:val="24"/>
          <w:szCs w:val="24"/>
        </w:rPr>
        <w:t>（5）</w:t>
      </w:r>
      <w:r>
        <w:rPr>
          <w:rFonts w:hint="eastAsia" w:ascii="宋体" w:hAnsi="宋体" w:eastAsia="宋体"/>
          <w:kern w:val="10"/>
          <w:sz w:val="24"/>
          <w:szCs w:val="24"/>
        </w:rPr>
        <w:t>根据《关于落实</w:t>
      </w:r>
      <w:r>
        <w:rPr>
          <w:rFonts w:ascii="宋体" w:hAnsi="宋体" w:eastAsia="宋体"/>
          <w:kern w:val="10"/>
          <w:sz w:val="24"/>
          <w:szCs w:val="24"/>
        </w:rPr>
        <w:t>&lt;</w:t>
      </w:r>
      <w:r>
        <w:rPr>
          <w:rFonts w:hint="eastAsia" w:ascii="宋体" w:hAnsi="宋体" w:eastAsia="宋体"/>
          <w:kern w:val="10"/>
          <w:sz w:val="24"/>
          <w:szCs w:val="24"/>
        </w:rPr>
        <w:t>恩施州建设领域劳动者工资支付保障实施方法</w:t>
      </w:r>
      <w:r>
        <w:rPr>
          <w:rFonts w:ascii="宋体" w:hAnsi="宋体" w:eastAsia="宋体"/>
          <w:kern w:val="10"/>
          <w:sz w:val="24"/>
          <w:szCs w:val="24"/>
        </w:rPr>
        <w:t>&gt;</w:t>
      </w:r>
      <w:r>
        <w:rPr>
          <w:rFonts w:hint="eastAsia" w:ascii="宋体" w:hAnsi="宋体" w:eastAsia="宋体"/>
          <w:kern w:val="10"/>
          <w:sz w:val="24"/>
          <w:szCs w:val="24"/>
        </w:rPr>
        <w:t>相关规定的意见》的补充通知（恩施州人社函</w:t>
      </w:r>
      <w:r>
        <w:rPr>
          <w:rFonts w:ascii="宋体" w:hAnsi="宋体" w:eastAsia="宋体"/>
          <w:kern w:val="10"/>
          <w:sz w:val="24"/>
          <w:szCs w:val="24"/>
        </w:rPr>
        <w:t>[2017]35</w:t>
      </w:r>
      <w:r>
        <w:rPr>
          <w:rFonts w:hint="eastAsia" w:ascii="宋体" w:hAnsi="宋体" w:eastAsia="宋体"/>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pPr>
        <w:spacing w:line="220" w:lineRule="atLeast"/>
        <w:rPr>
          <w:rFonts w:ascii="宋体" w:hAnsi="宋体" w:eastAsia="宋体"/>
          <w:sz w:val="24"/>
          <w:szCs w:val="24"/>
        </w:rPr>
      </w:pPr>
      <w:r>
        <w:rPr>
          <w:rFonts w:hint="eastAsia" w:ascii="宋体" w:hAnsi="宋体" w:eastAsia="宋体"/>
          <w:sz w:val="24"/>
          <w:szCs w:val="24"/>
        </w:rPr>
        <w:t>（6）投标人认为需要提交的其他材料（如有）</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4.2法定代表人授权委托书格式</w:t>
      </w:r>
    </w:p>
    <w:p>
      <w:pPr>
        <w:spacing w:line="220" w:lineRule="atLeast"/>
        <w:jc w:val="center"/>
        <w:rPr>
          <w:rFonts w:ascii="宋体" w:hAnsi="宋体" w:eastAsia="宋体"/>
          <w:b/>
          <w:sz w:val="32"/>
          <w:szCs w:val="32"/>
        </w:rPr>
      </w:pPr>
      <w:r>
        <w:rPr>
          <w:rFonts w:hint="eastAsia" w:ascii="宋体" w:hAnsi="宋体" w:eastAsia="宋体"/>
          <w:b/>
          <w:sz w:val="32"/>
          <w:szCs w:val="32"/>
        </w:rPr>
        <w:t>法定代表人授权委托书</w:t>
      </w:r>
    </w:p>
    <w:p>
      <w:pPr>
        <w:spacing w:line="220" w:lineRule="atLeast"/>
        <w:rPr>
          <w:rFonts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w:t>
      </w:r>
      <w:r>
        <w:rPr>
          <w:rFonts w:hint="eastAsia" w:ascii="宋体" w:hAnsi="宋体" w:eastAsia="宋体"/>
          <w:sz w:val="24"/>
          <w:szCs w:val="24"/>
          <w:u w:val="single"/>
        </w:rPr>
        <w:t xml:space="preserve">         </w:t>
      </w:r>
      <w:r>
        <w:rPr>
          <w:rFonts w:hint="eastAsia" w:ascii="宋体" w:hAnsi="宋体" w:eastAsia="宋体"/>
          <w:sz w:val="24"/>
          <w:szCs w:val="24"/>
        </w:rPr>
        <w:t>（姓名）是</w:t>
      </w:r>
      <w:r>
        <w:rPr>
          <w:rFonts w:hint="eastAsia" w:ascii="宋体" w:hAnsi="宋体" w:eastAsia="宋体"/>
          <w:sz w:val="24"/>
          <w:szCs w:val="24"/>
          <w:u w:val="single"/>
        </w:rPr>
        <w:t xml:space="preserve">                               </w:t>
      </w:r>
      <w:r>
        <w:rPr>
          <w:rFonts w:hint="eastAsia" w:ascii="宋体" w:hAnsi="宋体" w:eastAsia="宋体"/>
          <w:sz w:val="24"/>
          <w:szCs w:val="24"/>
        </w:rPr>
        <w:t>（投标人名称）的法定代表人，现授权委托本单位在职职工</w:t>
      </w:r>
      <w:r>
        <w:rPr>
          <w:rFonts w:hint="eastAsia" w:ascii="宋体" w:hAnsi="宋体" w:eastAsia="宋体"/>
          <w:sz w:val="24"/>
          <w:szCs w:val="24"/>
          <w:u w:val="single"/>
        </w:rPr>
        <w:t xml:space="preserve">                     </w:t>
      </w:r>
      <w:r>
        <w:rPr>
          <w:rFonts w:hint="eastAsia" w:ascii="宋体" w:hAnsi="宋体" w:eastAsia="宋体"/>
          <w:sz w:val="24"/>
          <w:szCs w:val="24"/>
        </w:rPr>
        <w:t>（姓名、职务）以我方的名义参加</w:t>
      </w:r>
      <w:r>
        <w:rPr>
          <w:rFonts w:hint="eastAsia" w:ascii="宋体" w:hAnsi="宋体" w:eastAsia="宋体"/>
          <w:sz w:val="24"/>
          <w:szCs w:val="24"/>
          <w:u w:val="single"/>
        </w:rPr>
        <w:t xml:space="preserve">                            </w:t>
      </w:r>
      <w:r>
        <w:rPr>
          <w:rFonts w:hint="eastAsia" w:ascii="宋体" w:hAnsi="宋体" w:eastAsia="宋体"/>
          <w:sz w:val="24"/>
          <w:szCs w:val="24"/>
        </w:rPr>
        <w:t>招标项目（编号：</w:t>
      </w:r>
      <w:r>
        <w:rPr>
          <w:rFonts w:hint="eastAsia" w:ascii="宋体" w:hAnsi="宋体" w:eastAsia="宋体"/>
          <w:sz w:val="24"/>
          <w:szCs w:val="24"/>
          <w:u w:val="single"/>
        </w:rPr>
        <w:t xml:space="preserve">    </w:t>
      </w:r>
      <w:r>
        <w:rPr>
          <w:rFonts w:hint="eastAsia" w:ascii="宋体" w:hAnsi="宋体" w:eastAsia="宋体"/>
          <w:sz w:val="24"/>
          <w:szCs w:val="24"/>
        </w:rPr>
        <w:t>）的投标活动，并代表我方全权办理针对上述项目的响应文件签署、投标、开标等具体事务和签署与本投标项目相关文件。</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我方对被授权人的签名事项负全部责任。</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在撤销授权的书面通知到达被授权人以前，本授权书一直有效</w:t>
      </w:r>
      <w:r>
        <w:rPr>
          <w:rFonts w:hint="eastAsia" w:ascii="宋体" w:hAnsi="宋体" w:eastAsia="宋体"/>
          <w:sz w:val="24"/>
          <w:szCs w:val="24"/>
        </w:rPr>
        <w:t>。被授权人在授权书有效期内签署的所有文件不因授权的撤销而失效。</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被授权人无转委托权，特此委托。</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法定代表人签名：</w:t>
      </w:r>
    </w:p>
    <w:tbl>
      <w:tblPr>
        <w:tblStyle w:val="25"/>
        <w:tblW w:w="8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13" w:hRule="atLeast"/>
        </w:trPr>
        <w:tc>
          <w:tcPr>
            <w:tcW w:w="4193" w:type="dxa"/>
            <w:vAlign w:val="center"/>
          </w:tcPr>
          <w:p>
            <w:pPr>
              <w:spacing w:after="0" w:line="360" w:lineRule="auto"/>
              <w:jc w:val="center"/>
              <w:rPr>
                <w:rFonts w:ascii="宋体" w:hAnsi="宋体" w:eastAsia="宋体"/>
                <w:sz w:val="24"/>
                <w:szCs w:val="24"/>
              </w:rPr>
            </w:pPr>
            <w:r>
              <w:rPr>
                <w:rFonts w:hint="eastAsia" w:ascii="宋体" w:hAnsi="宋体" w:eastAsia="宋体"/>
                <w:sz w:val="24"/>
                <w:szCs w:val="24"/>
              </w:rPr>
              <w:t>法定代表人身份证正面复印件</w:t>
            </w:r>
          </w:p>
        </w:tc>
        <w:tc>
          <w:tcPr>
            <w:tcW w:w="4193" w:type="dxa"/>
            <w:vAlign w:val="center"/>
          </w:tcPr>
          <w:p>
            <w:pPr>
              <w:spacing w:after="0" w:line="360" w:lineRule="auto"/>
              <w:jc w:val="center"/>
              <w:rPr>
                <w:rFonts w:ascii="宋体" w:hAnsi="宋体" w:eastAsia="宋体"/>
                <w:sz w:val="24"/>
                <w:szCs w:val="24"/>
              </w:rPr>
            </w:pPr>
            <w:r>
              <w:rPr>
                <w:rFonts w:hint="eastAsia" w:ascii="宋体" w:hAnsi="宋体" w:eastAsia="宋体"/>
                <w:sz w:val="24"/>
                <w:szCs w:val="24"/>
              </w:rPr>
              <w:t>法定代表人身份证反面复印件</w:t>
            </w:r>
          </w:p>
        </w:tc>
      </w:tr>
    </w:tbl>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被授权人签名：                   </w:t>
      </w:r>
    </w:p>
    <w:tbl>
      <w:tblPr>
        <w:tblStyle w:val="25"/>
        <w:tblW w:w="84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3"/>
        <w:gridCol w:w="4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25" w:hRule="atLeast"/>
        </w:trPr>
        <w:tc>
          <w:tcPr>
            <w:tcW w:w="4213" w:type="dxa"/>
            <w:vAlign w:val="center"/>
          </w:tcPr>
          <w:p>
            <w:pPr>
              <w:spacing w:after="0" w:line="360" w:lineRule="auto"/>
              <w:jc w:val="center"/>
              <w:rPr>
                <w:rFonts w:ascii="宋体" w:hAnsi="宋体" w:eastAsia="宋体"/>
                <w:sz w:val="24"/>
                <w:szCs w:val="24"/>
              </w:rPr>
            </w:pPr>
            <w:r>
              <w:rPr>
                <w:rFonts w:hint="eastAsia" w:ascii="宋体" w:hAnsi="宋体" w:eastAsia="宋体"/>
                <w:sz w:val="24"/>
                <w:szCs w:val="24"/>
              </w:rPr>
              <w:t>被授权人身份证正面复印件</w:t>
            </w:r>
          </w:p>
        </w:tc>
        <w:tc>
          <w:tcPr>
            <w:tcW w:w="4213" w:type="dxa"/>
            <w:vAlign w:val="center"/>
          </w:tcPr>
          <w:p>
            <w:pPr>
              <w:spacing w:after="0" w:line="360" w:lineRule="auto"/>
              <w:jc w:val="center"/>
              <w:rPr>
                <w:rFonts w:ascii="宋体" w:hAnsi="宋体" w:eastAsia="宋体"/>
                <w:sz w:val="24"/>
                <w:szCs w:val="24"/>
              </w:rPr>
            </w:pPr>
            <w:r>
              <w:rPr>
                <w:rFonts w:hint="eastAsia" w:ascii="宋体" w:hAnsi="宋体" w:eastAsia="宋体"/>
                <w:sz w:val="24"/>
                <w:szCs w:val="24"/>
              </w:rPr>
              <w:t>被授权人身份证反面复印件</w:t>
            </w:r>
          </w:p>
        </w:tc>
      </w:tr>
    </w:tbl>
    <w:p>
      <w:pPr>
        <w:spacing w:after="0" w:line="360" w:lineRule="auto"/>
        <w:jc w:val="both"/>
        <w:rPr>
          <w:rFonts w:ascii="宋体" w:hAnsi="宋体" w:eastAsia="宋体"/>
          <w:sz w:val="24"/>
          <w:szCs w:val="24"/>
        </w:rPr>
      </w:pPr>
      <w:r>
        <w:rPr>
          <w:rFonts w:hint="eastAsia" w:ascii="宋体" w:hAnsi="宋体" w:eastAsia="宋体"/>
          <w:sz w:val="24"/>
          <w:szCs w:val="24"/>
        </w:rPr>
        <w:t xml:space="preserve"> </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投标人公章：</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3证明投标人合格的资格文件，包括：</w:t>
      </w:r>
    </w:p>
    <w:p>
      <w:pPr>
        <w:spacing w:after="0" w:line="360" w:lineRule="auto"/>
        <w:jc w:val="both"/>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）企业法人营业执照或事业单位法人证书（副本复印件）；</w:t>
      </w:r>
    </w:p>
    <w:p>
      <w:pPr>
        <w:spacing w:after="0" w:line="360" w:lineRule="auto"/>
        <w:jc w:val="both"/>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）同时具有中华人民共和国国土资源部颁发的地质灾害防治勘察乙级及以上资质和地质灾害防治设计乙级及以上资质</w:t>
      </w:r>
      <w:r>
        <w:rPr>
          <w:rFonts w:hint="eastAsia" w:ascii="宋体" w:hAnsi="宋体" w:eastAsia="宋体" w:cs="宋体"/>
          <w:sz w:val="24"/>
          <w:szCs w:val="24"/>
        </w:rPr>
        <w:t>；</w:t>
      </w:r>
    </w:p>
    <w:p>
      <w:pPr>
        <w:spacing w:after="0" w:line="360" w:lineRule="auto"/>
        <w:jc w:val="both"/>
        <w:rPr>
          <w:rFonts w:ascii="宋体" w:hAnsi="宋体" w:eastAsia="宋体"/>
          <w:sz w:val="24"/>
          <w:szCs w:val="24"/>
        </w:rPr>
      </w:pPr>
      <w:r>
        <w:rPr>
          <w:rFonts w:hint="eastAsia" w:ascii="宋体" w:hAnsi="宋体" w:eastAsia="宋体"/>
          <w:sz w:val="24"/>
          <w:szCs w:val="24"/>
        </w:rPr>
        <w:t>（3）项目负责人应具备工程地质勘察高级工程师证书或注册岩土工程师证书；</w:t>
      </w:r>
    </w:p>
    <w:p>
      <w:pPr>
        <w:spacing w:after="0" w:line="360" w:lineRule="auto"/>
        <w:jc w:val="both"/>
        <w:rPr>
          <w:rFonts w:ascii="宋体" w:hAnsi="宋体" w:eastAsia="宋体"/>
          <w:sz w:val="24"/>
          <w:szCs w:val="24"/>
        </w:rPr>
      </w:pPr>
      <w:r>
        <w:rPr>
          <w:rFonts w:hint="eastAsia" w:ascii="宋体" w:hAnsi="宋体" w:eastAsia="宋体"/>
          <w:sz w:val="24"/>
          <w:szCs w:val="24"/>
        </w:rPr>
        <w:t>（4）“中国裁判文书网”查询记录截图；</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4投标人业绩。近三年承接的类似项目业绩（格式自拟）</w:t>
      </w:r>
    </w:p>
    <w:p>
      <w:pPr>
        <w:spacing w:after="0" w:line="360" w:lineRule="auto"/>
        <w:jc w:val="both"/>
        <w:rPr>
          <w:rFonts w:ascii="宋体" w:hAnsi="宋体" w:eastAsia="宋体"/>
          <w:sz w:val="24"/>
          <w:szCs w:val="24"/>
        </w:rPr>
      </w:pPr>
      <w:r>
        <w:rPr>
          <w:rFonts w:hint="eastAsia" w:ascii="宋体" w:hAnsi="宋体" w:eastAsia="宋体"/>
          <w:kern w:val="10"/>
          <w:sz w:val="24"/>
          <w:szCs w:val="24"/>
        </w:rPr>
        <w:t>4.5投标人在参加投标活动前三年内，在经营活动中没有重大违法记录的书面声明；全国建筑市场监管公共服务平台诚信信息中查询的不良行为记录截图及信用中国查询截图。</w:t>
      </w:r>
    </w:p>
    <w:p>
      <w:pPr>
        <w:spacing w:after="0" w:line="360" w:lineRule="auto"/>
        <w:jc w:val="both"/>
        <w:rPr>
          <w:rFonts w:ascii="宋体" w:hAnsi="宋体" w:eastAsia="宋体"/>
          <w:sz w:val="24"/>
          <w:szCs w:val="24"/>
        </w:rPr>
      </w:pPr>
      <w:r>
        <w:rPr>
          <w:rFonts w:hint="eastAsia" w:ascii="宋体" w:hAnsi="宋体" w:eastAsia="宋体"/>
          <w:sz w:val="24"/>
          <w:szCs w:val="24"/>
        </w:rPr>
        <w:t>4.6</w:t>
      </w:r>
      <w:r>
        <w:rPr>
          <w:rFonts w:hint="eastAsia" w:ascii="宋体" w:hAnsi="宋体" w:eastAsia="宋体"/>
          <w:kern w:val="10"/>
          <w:sz w:val="24"/>
          <w:szCs w:val="24"/>
        </w:rPr>
        <w:t>不拖欠农民工工资承诺书</w:t>
      </w: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7投标人认为需要提交的其他材料（如有）</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注：以上材料中磋商文件规定需在开标会上提供原件的，除在响应文件中提供相关材料复印件以外，还需在开标会上提供原件。</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5.技术文件封面格式</w:t>
      </w:r>
    </w:p>
    <w:p>
      <w:pPr>
        <w:spacing w:line="220" w:lineRule="atLeast"/>
        <w:jc w:val="center"/>
        <w:rPr>
          <w:rFonts w:ascii="微软雅黑" w:hAnsi="微软雅黑" w:cs="微软雅黑"/>
          <w:b/>
          <w:bCs/>
          <w:color w:val="000000"/>
          <w:sz w:val="32"/>
          <w:szCs w:val="32"/>
          <w:shd w:val="clear" w:color="auto" w:fill="FFFFFF"/>
        </w:rPr>
      </w:pPr>
      <w:r>
        <w:rPr>
          <w:rFonts w:hint="eastAsia" w:ascii="微软雅黑" w:hAnsi="微软雅黑" w:cs="微软雅黑"/>
          <w:b/>
          <w:bCs/>
          <w:color w:val="000000"/>
          <w:sz w:val="32"/>
          <w:szCs w:val="32"/>
          <w:shd w:val="clear" w:color="auto" w:fill="FFFFFF"/>
        </w:rPr>
        <w:t>坪坝营四洞峡景区危岩防治工程勘察及设计项目</w:t>
      </w:r>
    </w:p>
    <w:p>
      <w:pPr>
        <w:spacing w:line="220" w:lineRule="atLeast"/>
        <w:jc w:val="center"/>
        <w:rPr>
          <w:rFonts w:ascii="微软雅黑" w:hAnsi="微软雅黑" w:cs="微软雅黑"/>
          <w:b/>
          <w:bCs/>
          <w:sz w:val="32"/>
          <w:szCs w:val="24"/>
        </w:rPr>
      </w:pPr>
      <w:r>
        <w:rPr>
          <w:rFonts w:hint="eastAsia" w:ascii="微软雅黑" w:hAnsi="微软雅黑" w:cs="微软雅黑"/>
          <w:b/>
          <w:bCs/>
          <w:sz w:val="32"/>
          <w:szCs w:val="24"/>
        </w:rPr>
        <w:t>竞争性磋商公告</w:t>
      </w:r>
    </w:p>
    <w:p>
      <w:pPr>
        <w:spacing w:line="220" w:lineRule="atLeast"/>
        <w:jc w:val="center"/>
        <w:rPr>
          <w:rFonts w:ascii="宋体" w:hAnsi="宋体" w:eastAsia="宋体"/>
          <w:b/>
          <w:sz w:val="32"/>
          <w:szCs w:val="28"/>
        </w:rPr>
      </w:pP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技</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术</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28"/>
          <w:szCs w:val="28"/>
        </w:rPr>
        <w:t>投标人：（全称并盖章）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after="0" w:line="360" w:lineRule="auto"/>
        <w:jc w:val="center"/>
        <w:rPr>
          <w:rFonts w:ascii="宋体" w:hAnsi="宋体" w:eastAsia="宋体"/>
          <w:sz w:val="24"/>
          <w:szCs w:val="24"/>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5.1技术文件目录</w:t>
      </w:r>
    </w:p>
    <w:p>
      <w:pPr>
        <w:spacing w:after="0" w:line="360" w:lineRule="auto"/>
        <w:jc w:val="both"/>
        <w:rPr>
          <w:rFonts w:ascii="宋体" w:hAnsi="宋体" w:eastAsia="宋体"/>
          <w:sz w:val="24"/>
          <w:szCs w:val="24"/>
        </w:rPr>
      </w:pPr>
      <w:r>
        <w:rPr>
          <w:rFonts w:hint="eastAsia" w:ascii="宋体" w:hAnsi="宋体" w:eastAsia="宋体"/>
          <w:sz w:val="24"/>
          <w:szCs w:val="24"/>
        </w:rPr>
        <w:t>（1）机构设置及主要人员情况介绍（格式自拟）；</w:t>
      </w:r>
    </w:p>
    <w:p>
      <w:pPr>
        <w:spacing w:after="0" w:line="360" w:lineRule="auto"/>
        <w:jc w:val="both"/>
        <w:rPr>
          <w:rFonts w:ascii="宋体" w:hAnsi="宋体" w:eastAsia="宋体"/>
          <w:sz w:val="24"/>
          <w:szCs w:val="24"/>
        </w:rPr>
      </w:pPr>
      <w:r>
        <w:rPr>
          <w:rFonts w:hint="eastAsia" w:ascii="宋体" w:hAnsi="宋体" w:eastAsia="宋体"/>
          <w:sz w:val="24"/>
          <w:szCs w:val="24"/>
        </w:rPr>
        <w:t xml:space="preserve">（2）勘察设计方案（格式自拟）； </w:t>
      </w:r>
    </w:p>
    <w:p>
      <w:pPr>
        <w:spacing w:after="0" w:line="360" w:lineRule="auto"/>
        <w:rPr>
          <w:rFonts w:ascii="宋体" w:hAnsi="宋体" w:eastAsia="宋体"/>
          <w:sz w:val="24"/>
          <w:szCs w:val="24"/>
        </w:rPr>
      </w:pPr>
      <w:r>
        <w:rPr>
          <w:rFonts w:hint="eastAsia" w:ascii="宋体" w:hAnsi="宋体" w:eastAsia="宋体"/>
          <w:sz w:val="24"/>
          <w:szCs w:val="24"/>
        </w:rPr>
        <w:t>（3）投标人需要说明的其他文件和说明（如有）。</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5.2勘察设计方案（格式自拟）。应当包括：勘察点布置、勘察设计进度详细计划、工期保证措施、勘察设计质量保证措施、确保勘察活动安全措施、勘察方法及手段、勘察机具设备、设计方案评审等内容。</w:t>
      </w:r>
    </w:p>
    <w:p>
      <w:pPr>
        <w:spacing w:after="0" w:line="360" w:lineRule="auto"/>
        <w:rPr>
          <w:rFonts w:ascii="宋体" w:hAnsi="宋体" w:eastAsia="宋体"/>
          <w:sz w:val="24"/>
          <w:szCs w:val="24"/>
        </w:rPr>
      </w:pPr>
      <w:r>
        <w:rPr>
          <w:rFonts w:hint="eastAsia" w:ascii="宋体" w:hAnsi="宋体" w:eastAsia="宋体"/>
          <w:sz w:val="24"/>
          <w:szCs w:val="24"/>
        </w:rPr>
        <w:t>5.3投标人需要说明的其他文件和说明。</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sectPr>
      <w:headerReference r:id="rId5" w:type="default"/>
      <w:footerReference r:id="rId6" w:type="default"/>
      <w:type w:val="continuous"/>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18437" o:spid="_x0000_s18437"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pStyle w:val="14"/>
                  <w:jc w:val="center"/>
                </w:pPr>
                <w:r>
                  <w:rPr>
                    <w:rFonts w:ascii="楷体" w:hAnsi="楷体" w:eastAsia="楷体"/>
                    <w:sz w:val="21"/>
                    <w:szCs w:val="21"/>
                  </w:rPr>
                  <w:fldChar w:fldCharType="begin"/>
                </w:r>
                <w:r>
                  <w:rPr>
                    <w:rFonts w:ascii="楷体" w:hAnsi="楷体" w:eastAsia="楷体"/>
                    <w:sz w:val="21"/>
                    <w:szCs w:val="21"/>
                  </w:rPr>
                  <w:instrText xml:space="preserve"> </w:instrText>
                </w:r>
                <w:r>
                  <w:rPr>
                    <w:rFonts w:hint="eastAsia" w:ascii="楷体" w:hAnsi="楷体" w:eastAsia="楷体"/>
                    <w:sz w:val="21"/>
                    <w:szCs w:val="21"/>
                  </w:rPr>
                  <w:instrText xml:space="preserve">PAGE   \* MERGEFORMAT</w:instrText>
                </w:r>
                <w:r>
                  <w:rPr>
                    <w:rFonts w:ascii="楷体" w:hAnsi="楷体" w:eastAsia="楷体"/>
                    <w:sz w:val="21"/>
                    <w:szCs w:val="21"/>
                  </w:rPr>
                  <w:instrText xml:space="preserve"> </w:instrText>
                </w:r>
                <w:r>
                  <w:rPr>
                    <w:rFonts w:ascii="楷体" w:hAnsi="楷体" w:eastAsia="楷体"/>
                    <w:sz w:val="21"/>
                    <w:szCs w:val="21"/>
                  </w:rPr>
                  <w:fldChar w:fldCharType="separate"/>
                </w:r>
                <w:r>
                  <w:rPr>
                    <w:rFonts w:ascii="楷体" w:hAnsi="楷体" w:eastAsia="楷体"/>
                    <w:sz w:val="21"/>
                    <w:szCs w:val="21"/>
                  </w:rPr>
                  <w:t>3</w:t>
                </w:r>
                <w:r>
                  <w:rPr>
                    <w:rFonts w:ascii="楷体" w:hAnsi="楷体" w:eastAsia="楷体"/>
                    <w:sz w:val="21"/>
                    <w:szCs w:val="21"/>
                  </w:rPr>
                  <w:fldChar w:fldCharType="end"/>
                </w:r>
                <w:r>
                  <w:rPr>
                    <w:rFonts w:hint="eastAsia" w:ascii="楷体" w:hAnsi="楷体" w:eastAsia="楷体"/>
                    <w:sz w:val="21"/>
                    <w:szCs w:val="21"/>
                  </w:rPr>
                  <w:t xml:space="preserve">  </w:t>
                </w:r>
              </w:p>
              <w:p/>
            </w:txbxContent>
          </v:textbox>
        </v:shape>
      </w:pic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ascii="仿宋" w:hAnsi="仿宋" w:eastAsia="仿宋"/>
      </w:rPr>
    </w:pPr>
    <w:r>
      <w:rPr>
        <w:rFonts w:hint="eastAsia" w:ascii="仿宋" w:hAnsi="仿宋" w:eastAsia="仿宋" w:cs="仿宋"/>
      </w:rPr>
      <w:t xml:space="preserve">咸丰三特旅游开发有限公司                                                         </w:t>
    </w:r>
    <w:r>
      <w:rPr>
        <w:rFonts w:hint="eastAsia" w:ascii="仿宋" w:hAnsi="仿宋" w:eastAsia="仿宋"/>
      </w:rPr>
      <w:t xml:space="preserve"> 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ascii="仿宋" w:hAnsi="仿宋" w:eastAsia="仿宋"/>
      </w:rPr>
    </w:pPr>
    <w:r>
      <w:rPr>
        <w:rFonts w:hint="eastAsia" w:ascii="仿宋" w:hAnsi="仿宋" w:eastAsia="仿宋" w:cs="仿宋"/>
      </w:rPr>
      <w:t xml:space="preserve">咸丰三特旅游开发有限公司 </w:t>
    </w:r>
    <w:r>
      <w:rPr>
        <w:rFonts w:hint="eastAsia" w:ascii="仿宋" w:hAnsi="仿宋" w:eastAsia="仿宋"/>
      </w:rPr>
      <w:t xml:space="preserve"> 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720"/>
  <w:characterSpacingControl w:val="doNotCompress"/>
  <w:hdrShapeDefaults>
    <o:shapelayout v:ext="edit">
      <o:idmap v:ext="edit" data="2,18"/>
    </o:shapelayout>
  </w:hdrShapeDefault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BC7"/>
    <w:rsid w:val="000E441F"/>
    <w:rsid w:val="001F1DE6"/>
    <w:rsid w:val="004716BA"/>
    <w:rsid w:val="00600A63"/>
    <w:rsid w:val="00813727"/>
    <w:rsid w:val="008D3F5F"/>
    <w:rsid w:val="009F6ED0"/>
    <w:rsid w:val="00B40276"/>
    <w:rsid w:val="00C54BC7"/>
    <w:rsid w:val="00DD1090"/>
    <w:rsid w:val="00ED685E"/>
    <w:rsid w:val="00F004E3"/>
    <w:rsid w:val="288D0199"/>
    <w:rsid w:val="2FCA4D09"/>
    <w:rsid w:val="42610CE8"/>
    <w:rsid w:val="565B5950"/>
    <w:rsid w:val="5F2C3E9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paragraph" w:styleId="2">
    <w:name w:val="heading 1"/>
    <w:basedOn w:val="1"/>
    <w:next w:val="1"/>
    <w:link w:val="42"/>
    <w:qFormat/>
    <w:uiPriority w:val="0"/>
    <w:pPr>
      <w:keepNext/>
      <w:keepLines/>
      <w:widowControl w:val="0"/>
      <w:adjustRightInd/>
      <w:snapToGrid/>
      <w:spacing w:before="340" w:after="330" w:line="576"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46"/>
    <w:unhideWhenUsed/>
    <w:qFormat/>
    <w:uiPriority w:val="0"/>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link w:val="43"/>
    <w:qFormat/>
    <w:uiPriority w:val="0"/>
    <w:pPr>
      <w:keepNext/>
      <w:keepLines/>
      <w:widowControl w:val="0"/>
      <w:adjustRightInd/>
      <w:snapToGrid/>
      <w:spacing w:before="260" w:after="260" w:line="415" w:lineRule="auto"/>
      <w:jc w:val="both"/>
      <w:outlineLvl w:val="2"/>
    </w:pPr>
    <w:rPr>
      <w:rFonts w:ascii="Times New Roman" w:hAnsi="Times New Roman" w:eastAsia="宋体" w:cs="Times New Roman"/>
      <w:b/>
      <w:bCs/>
      <w:kern w:val="2"/>
      <w:sz w:val="32"/>
      <w:szCs w:val="32"/>
    </w:rPr>
  </w:style>
  <w:style w:type="paragraph" w:styleId="5">
    <w:name w:val="heading 4"/>
    <w:basedOn w:val="1"/>
    <w:next w:val="1"/>
    <w:link w:val="44"/>
    <w:qFormat/>
    <w:uiPriority w:val="0"/>
    <w:pPr>
      <w:keepNext/>
      <w:keepLines/>
      <w:widowControl w:val="0"/>
      <w:adjustRightInd/>
      <w:snapToGrid/>
      <w:spacing w:before="280" w:after="290" w:line="374" w:lineRule="auto"/>
      <w:jc w:val="both"/>
      <w:outlineLvl w:val="3"/>
    </w:pPr>
    <w:rPr>
      <w:rFonts w:ascii="Arial" w:hAnsi="Arial" w:eastAsia="黑体" w:cs="Times New Roman"/>
      <w:b/>
      <w:bCs/>
      <w:kern w:val="2"/>
      <w:sz w:val="28"/>
      <w:szCs w:val="28"/>
    </w:rPr>
  </w:style>
  <w:style w:type="paragraph" w:styleId="6">
    <w:name w:val="heading 5"/>
    <w:basedOn w:val="1"/>
    <w:next w:val="1"/>
    <w:link w:val="45"/>
    <w:unhideWhenUsed/>
    <w:qFormat/>
    <w:uiPriority w:val="0"/>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7">
    <w:name w:val="toc 7"/>
    <w:basedOn w:val="1"/>
    <w:next w:val="1"/>
    <w:qFormat/>
    <w:uiPriority w:val="0"/>
    <w:pPr>
      <w:widowControl w:val="0"/>
      <w:adjustRightInd/>
      <w:snapToGrid/>
      <w:spacing w:after="0"/>
      <w:ind w:left="2520" w:leftChars="1200"/>
      <w:jc w:val="both"/>
    </w:pPr>
    <w:rPr>
      <w:rFonts w:ascii="Times New Roman" w:hAnsi="Times New Roman" w:eastAsia="宋体" w:cs="Times New Roman"/>
      <w:kern w:val="2"/>
      <w:sz w:val="21"/>
      <w:szCs w:val="24"/>
    </w:rPr>
  </w:style>
  <w:style w:type="paragraph" w:styleId="8">
    <w:name w:val="Document Map"/>
    <w:basedOn w:val="1"/>
    <w:link w:val="47"/>
    <w:semiHidden/>
    <w:unhideWhenUsed/>
    <w:uiPriority w:val="99"/>
    <w:rPr>
      <w:rFonts w:ascii="宋体" w:eastAsia="宋体"/>
      <w:sz w:val="18"/>
      <w:szCs w:val="18"/>
    </w:rPr>
  </w:style>
  <w:style w:type="paragraph" w:styleId="9">
    <w:name w:val="annotation text"/>
    <w:basedOn w:val="1"/>
    <w:link w:val="67"/>
    <w:uiPriority w:val="0"/>
    <w:pPr>
      <w:widowControl w:val="0"/>
      <w:adjustRightInd/>
      <w:snapToGrid/>
      <w:spacing w:after="0"/>
    </w:pPr>
    <w:rPr>
      <w:rFonts w:ascii="Calibri" w:hAnsi="Calibri" w:cs="Times New Roman"/>
      <w:sz w:val="24"/>
      <w:szCs w:val="24"/>
    </w:rPr>
  </w:style>
  <w:style w:type="paragraph" w:styleId="10">
    <w:name w:val="toc 5"/>
    <w:basedOn w:val="1"/>
    <w:next w:val="1"/>
    <w:qFormat/>
    <w:uiPriority w:val="0"/>
    <w:pPr>
      <w:widowControl w:val="0"/>
      <w:adjustRightInd/>
      <w:snapToGrid/>
      <w:spacing w:after="0"/>
      <w:ind w:left="1680" w:leftChars="800"/>
      <w:jc w:val="both"/>
    </w:pPr>
    <w:rPr>
      <w:rFonts w:ascii="Times New Roman" w:hAnsi="Times New Roman" w:eastAsia="宋体" w:cs="Times New Roman"/>
      <w:kern w:val="2"/>
      <w:sz w:val="21"/>
      <w:szCs w:val="24"/>
    </w:rPr>
  </w:style>
  <w:style w:type="paragraph" w:styleId="11">
    <w:name w:val="toc 3"/>
    <w:basedOn w:val="1"/>
    <w:next w:val="1"/>
    <w:unhideWhenUsed/>
    <w:qFormat/>
    <w:uiPriority w:val="0"/>
    <w:pPr>
      <w:ind w:left="840" w:leftChars="400"/>
    </w:pPr>
  </w:style>
  <w:style w:type="paragraph" w:styleId="12">
    <w:name w:val="toc 8"/>
    <w:basedOn w:val="1"/>
    <w:next w:val="1"/>
    <w:qFormat/>
    <w:uiPriority w:val="0"/>
    <w:pPr>
      <w:widowControl w:val="0"/>
      <w:adjustRightInd/>
      <w:snapToGrid/>
      <w:spacing w:after="0"/>
      <w:ind w:left="2940" w:leftChars="1400"/>
      <w:jc w:val="both"/>
    </w:pPr>
    <w:rPr>
      <w:rFonts w:ascii="Times New Roman" w:hAnsi="Times New Roman" w:eastAsia="宋体" w:cs="Times New Roman"/>
      <w:kern w:val="2"/>
      <w:sz w:val="21"/>
      <w:szCs w:val="24"/>
    </w:rPr>
  </w:style>
  <w:style w:type="paragraph" w:styleId="13">
    <w:name w:val="Balloon Text"/>
    <w:basedOn w:val="1"/>
    <w:link w:val="41"/>
    <w:unhideWhenUsed/>
    <w:qFormat/>
    <w:uiPriority w:val="0"/>
    <w:pPr>
      <w:spacing w:after="0"/>
    </w:pPr>
    <w:rPr>
      <w:sz w:val="18"/>
      <w:szCs w:val="18"/>
    </w:rPr>
  </w:style>
  <w:style w:type="paragraph" w:styleId="14">
    <w:name w:val="footer"/>
    <w:basedOn w:val="1"/>
    <w:link w:val="40"/>
    <w:unhideWhenUsed/>
    <w:qFormat/>
    <w:uiPriority w:val="0"/>
    <w:pPr>
      <w:tabs>
        <w:tab w:val="center" w:pos="4153"/>
        <w:tab w:val="right" w:pos="8306"/>
      </w:tabs>
    </w:pPr>
    <w:rPr>
      <w:sz w:val="18"/>
      <w:szCs w:val="18"/>
    </w:rPr>
  </w:style>
  <w:style w:type="paragraph" w:styleId="15">
    <w:name w:val="header"/>
    <w:basedOn w:val="1"/>
    <w:link w:val="39"/>
    <w:unhideWhenUsed/>
    <w:qFormat/>
    <w:uiPriority w:val="0"/>
    <w:pPr>
      <w:pBdr>
        <w:bottom w:val="single" w:color="auto" w:sz="6" w:space="1"/>
      </w:pBdr>
      <w:tabs>
        <w:tab w:val="center" w:pos="4153"/>
        <w:tab w:val="right" w:pos="8306"/>
      </w:tabs>
      <w:jc w:val="center"/>
    </w:pPr>
    <w:rPr>
      <w:sz w:val="18"/>
      <w:szCs w:val="18"/>
    </w:rPr>
  </w:style>
  <w:style w:type="paragraph" w:styleId="16">
    <w:name w:val="toc 1"/>
    <w:basedOn w:val="1"/>
    <w:next w:val="1"/>
    <w:unhideWhenUsed/>
    <w:qFormat/>
    <w:uiPriority w:val="39"/>
  </w:style>
  <w:style w:type="paragraph" w:styleId="17">
    <w:name w:val="toc 4"/>
    <w:basedOn w:val="1"/>
    <w:next w:val="1"/>
    <w:qFormat/>
    <w:uiPriority w:val="0"/>
    <w:pPr>
      <w:widowControl w:val="0"/>
      <w:adjustRightInd/>
      <w:snapToGrid/>
      <w:spacing w:after="0"/>
      <w:ind w:left="1260" w:leftChars="600"/>
      <w:jc w:val="both"/>
    </w:pPr>
    <w:rPr>
      <w:rFonts w:ascii="Times New Roman" w:hAnsi="Times New Roman" w:eastAsia="宋体" w:cs="Times New Roman"/>
      <w:kern w:val="2"/>
      <w:sz w:val="21"/>
      <w:szCs w:val="24"/>
    </w:rPr>
  </w:style>
  <w:style w:type="paragraph" w:styleId="18">
    <w:name w:val="toc 6"/>
    <w:basedOn w:val="1"/>
    <w:next w:val="1"/>
    <w:uiPriority w:val="0"/>
    <w:pPr>
      <w:widowControl w:val="0"/>
      <w:adjustRightInd/>
      <w:snapToGrid/>
      <w:spacing w:after="0"/>
      <w:ind w:left="2100" w:leftChars="1000"/>
      <w:jc w:val="both"/>
    </w:pPr>
    <w:rPr>
      <w:rFonts w:ascii="Times New Roman" w:hAnsi="Times New Roman" w:eastAsia="宋体" w:cs="Times New Roman"/>
      <w:kern w:val="2"/>
      <w:sz w:val="21"/>
      <w:szCs w:val="24"/>
    </w:rPr>
  </w:style>
  <w:style w:type="paragraph" w:styleId="19">
    <w:name w:val="toc 2"/>
    <w:basedOn w:val="1"/>
    <w:next w:val="1"/>
    <w:unhideWhenUsed/>
    <w:qFormat/>
    <w:uiPriority w:val="0"/>
    <w:pPr>
      <w:ind w:left="420" w:leftChars="200"/>
    </w:pPr>
  </w:style>
  <w:style w:type="paragraph" w:styleId="20">
    <w:name w:val="toc 9"/>
    <w:basedOn w:val="1"/>
    <w:next w:val="1"/>
    <w:qFormat/>
    <w:uiPriority w:val="0"/>
    <w:pPr>
      <w:widowControl w:val="0"/>
      <w:adjustRightInd/>
      <w:snapToGrid/>
      <w:spacing w:after="0"/>
      <w:ind w:left="3360" w:leftChars="1600"/>
      <w:jc w:val="both"/>
    </w:pPr>
    <w:rPr>
      <w:rFonts w:ascii="Times New Roman" w:hAnsi="Times New Roman" w:eastAsia="宋体" w:cs="Times New Roman"/>
      <w:kern w:val="2"/>
      <w:sz w:val="21"/>
      <w:szCs w:val="24"/>
    </w:rPr>
  </w:style>
  <w:style w:type="paragraph" w:styleId="21">
    <w:name w:val="Normal (Web)"/>
    <w:basedOn w:val="1"/>
    <w:link w:val="48"/>
    <w:qFormat/>
    <w:uiPriority w:val="0"/>
    <w:pPr>
      <w:adjustRightInd/>
      <w:snapToGrid/>
      <w:spacing w:after="0"/>
    </w:pPr>
    <w:rPr>
      <w:rFonts w:ascii="宋体" w:hAnsi="宋体" w:eastAsia="宋体" w:cs="Times New Roman"/>
      <w:sz w:val="24"/>
      <w:szCs w:val="20"/>
    </w:rPr>
  </w:style>
  <w:style w:type="character" w:styleId="23">
    <w:name w:val="page number"/>
    <w:basedOn w:val="22"/>
    <w:semiHidden/>
    <w:unhideWhenUsed/>
    <w:qFormat/>
    <w:uiPriority w:val="99"/>
    <w:rPr>
      <w:rFonts w:cs="Times New Roman"/>
    </w:rPr>
  </w:style>
  <w:style w:type="character" w:styleId="24">
    <w:name w:val="Hyperlink"/>
    <w:basedOn w:val="22"/>
    <w:unhideWhenUsed/>
    <w:qFormat/>
    <w:uiPriority w:val="99"/>
    <w:rPr>
      <w:color w:val="0000FF"/>
      <w:u w:val="single"/>
    </w:rPr>
  </w:style>
  <w:style w:type="paragraph" w:customStyle="1" w:styleId="26">
    <w:name w:val="列出段落1"/>
    <w:basedOn w:val="1"/>
    <w:qFormat/>
    <w:uiPriority w:val="0"/>
    <w:pPr>
      <w:ind w:firstLine="420" w:firstLineChars="200"/>
    </w:pPr>
  </w:style>
  <w:style w:type="paragraph" w:customStyle="1" w:styleId="27">
    <w:name w:val="TOC 标题1"/>
    <w:basedOn w:val="2"/>
    <w:next w:val="1"/>
    <w:semiHidden/>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28">
    <w:name w:val="列出段落2"/>
    <w:basedOn w:val="1"/>
    <w:unhideWhenUsed/>
    <w:qFormat/>
    <w:uiPriority w:val="99"/>
    <w:pPr>
      <w:ind w:firstLine="420" w:firstLineChars="200"/>
    </w:pPr>
  </w:style>
  <w:style w:type="paragraph" w:customStyle="1" w:styleId="29">
    <w:name w:val="Char Char1"/>
    <w:basedOn w:val="2"/>
    <w:qFormat/>
    <w:uiPriority w:val="0"/>
    <w:pPr>
      <w:tabs>
        <w:tab w:val="left" w:pos="432"/>
      </w:tabs>
      <w:adjustRightInd w:val="0"/>
      <w:spacing w:before="0" w:after="0" w:line="480" w:lineRule="auto"/>
      <w:textAlignment w:val="baseline"/>
    </w:pPr>
    <w:rPr>
      <w:rFonts w:ascii="黑体" w:hAnsi="宋体" w:eastAsia="黑体"/>
      <w:bCs w:val="0"/>
      <w:sz w:val="32"/>
      <w:szCs w:val="32"/>
    </w:rPr>
  </w:style>
  <w:style w:type="paragraph" w:customStyle="1" w:styleId="30">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31">
    <w:name w:val="批注主题1"/>
    <w:basedOn w:val="9"/>
    <w:next w:val="9"/>
    <w:link w:val="52"/>
    <w:qFormat/>
    <w:uiPriority w:val="0"/>
    <w:rPr>
      <w:b/>
      <w:bCs/>
    </w:rPr>
  </w:style>
  <w:style w:type="paragraph" w:customStyle="1" w:styleId="32">
    <w:name w:val="日期1"/>
    <w:basedOn w:val="1"/>
    <w:next w:val="1"/>
    <w:link w:val="56"/>
    <w:qFormat/>
    <w:uiPriority w:val="0"/>
    <w:pPr>
      <w:widowControl w:val="0"/>
      <w:adjustRightInd/>
      <w:snapToGrid/>
      <w:spacing w:after="0"/>
      <w:ind w:left="100" w:leftChars="2500"/>
      <w:jc w:val="both"/>
    </w:pPr>
    <w:rPr>
      <w:rFonts w:ascii="Calibri" w:hAnsi="Calibri" w:cs="Times New Roman"/>
      <w:sz w:val="24"/>
      <w:szCs w:val="24"/>
    </w:rPr>
  </w:style>
  <w:style w:type="paragraph" w:customStyle="1" w:styleId="33">
    <w:name w:val="文档结构图1"/>
    <w:basedOn w:val="1"/>
    <w:qFormat/>
    <w:uiPriority w:val="0"/>
    <w:pPr>
      <w:widowControl w:val="0"/>
      <w:adjustRightInd/>
      <w:snapToGrid/>
      <w:spacing w:after="0"/>
      <w:jc w:val="both"/>
    </w:pPr>
    <w:rPr>
      <w:rFonts w:ascii="Times New Roman" w:hAnsi="Times New Roman" w:eastAsia="宋体" w:cs="Times New Roman"/>
      <w:kern w:val="2"/>
      <w:sz w:val="2"/>
      <w:szCs w:val="24"/>
    </w:rPr>
  </w:style>
  <w:style w:type="paragraph" w:customStyle="1" w:styleId="34">
    <w:name w:val="图表目录1"/>
    <w:basedOn w:val="1"/>
    <w:next w:val="1"/>
    <w:uiPriority w:val="0"/>
    <w:pPr>
      <w:widowControl w:val="0"/>
      <w:adjustRightInd/>
      <w:snapToGrid/>
      <w:spacing w:after="0"/>
      <w:ind w:left="200" w:leftChars="200" w:hanging="200" w:hangingChars="200"/>
      <w:jc w:val="both"/>
    </w:pPr>
    <w:rPr>
      <w:rFonts w:ascii="Times New Roman" w:hAnsi="Times New Roman" w:eastAsia="宋体" w:cs="Times New Roman"/>
      <w:kern w:val="2"/>
      <w:sz w:val="21"/>
      <w:szCs w:val="24"/>
    </w:rPr>
  </w:style>
  <w:style w:type="paragraph" w:customStyle="1" w:styleId="35">
    <w:name w:val="TOC 标题11"/>
    <w:basedOn w:val="2"/>
    <w:next w:val="1"/>
    <w:uiPriority w:val="0"/>
    <w:pPr>
      <w:outlineLvl w:val="9"/>
    </w:pPr>
    <w:rPr>
      <w:rFonts w:ascii="Calibri" w:hAnsi="Calibri"/>
      <w:bCs w:val="0"/>
      <w:szCs w:val="24"/>
    </w:rPr>
  </w:style>
  <w:style w:type="paragraph" w:customStyle="1" w:styleId="36">
    <w:name w:val="修订1"/>
    <w:qFormat/>
    <w:uiPriority w:val="0"/>
    <w:rPr>
      <w:rFonts w:ascii="Times New Roman" w:hAnsi="Times New Roman" w:eastAsia="宋体" w:cs="Times New Roman"/>
      <w:szCs w:val="24"/>
      <w:lang w:val="en-US" w:eastAsia="zh-CN" w:bidi="ar-SA"/>
    </w:rPr>
  </w:style>
  <w:style w:type="paragraph" w:customStyle="1" w:styleId="37">
    <w:name w:val="msolistparagraph"/>
    <w:basedOn w:val="1"/>
    <w:uiPriority w:val="0"/>
    <w:pPr>
      <w:adjustRightInd/>
      <w:snapToGrid/>
      <w:spacing w:before="100" w:beforeAutospacing="1" w:after="100" w:afterAutospacing="1"/>
    </w:pPr>
    <w:rPr>
      <w:rFonts w:ascii="宋体" w:hAnsi="宋体" w:eastAsia="宋体" w:cs="宋体"/>
      <w:sz w:val="24"/>
      <w:szCs w:val="24"/>
    </w:rPr>
  </w:style>
  <w:style w:type="paragraph" w:customStyle="1" w:styleId="38">
    <w:name w:val="默认段落字体 Para Char Char 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character" w:customStyle="1" w:styleId="39">
    <w:name w:val="页眉 Char"/>
    <w:basedOn w:val="22"/>
    <w:link w:val="15"/>
    <w:qFormat/>
    <w:uiPriority w:val="0"/>
    <w:rPr>
      <w:rFonts w:ascii="Tahoma" w:hAnsi="Tahoma"/>
      <w:sz w:val="18"/>
      <w:szCs w:val="18"/>
    </w:rPr>
  </w:style>
  <w:style w:type="character" w:customStyle="1" w:styleId="40">
    <w:name w:val="页脚 Char"/>
    <w:basedOn w:val="22"/>
    <w:link w:val="14"/>
    <w:qFormat/>
    <w:uiPriority w:val="0"/>
    <w:rPr>
      <w:rFonts w:ascii="Tahoma" w:hAnsi="Tahoma"/>
      <w:sz w:val="18"/>
      <w:szCs w:val="18"/>
    </w:rPr>
  </w:style>
  <w:style w:type="character" w:customStyle="1" w:styleId="41">
    <w:name w:val="批注框文本 Char"/>
    <w:basedOn w:val="22"/>
    <w:link w:val="13"/>
    <w:qFormat/>
    <w:uiPriority w:val="0"/>
    <w:rPr>
      <w:rFonts w:ascii="Tahoma" w:hAnsi="Tahoma"/>
      <w:sz w:val="18"/>
      <w:szCs w:val="18"/>
    </w:rPr>
  </w:style>
  <w:style w:type="character" w:customStyle="1" w:styleId="42">
    <w:name w:val="标题 1 Char"/>
    <w:basedOn w:val="22"/>
    <w:link w:val="2"/>
    <w:qFormat/>
    <w:uiPriority w:val="0"/>
    <w:rPr>
      <w:rFonts w:ascii="Times New Roman" w:hAnsi="Times New Roman" w:eastAsia="宋体" w:cs="Times New Roman"/>
      <w:b/>
      <w:bCs/>
      <w:kern w:val="44"/>
      <w:sz w:val="44"/>
      <w:szCs w:val="44"/>
    </w:rPr>
  </w:style>
  <w:style w:type="character" w:customStyle="1" w:styleId="43">
    <w:name w:val="标题 3 Char"/>
    <w:basedOn w:val="22"/>
    <w:link w:val="4"/>
    <w:qFormat/>
    <w:uiPriority w:val="0"/>
    <w:rPr>
      <w:rFonts w:ascii="Times New Roman" w:hAnsi="Times New Roman" w:eastAsia="宋体" w:cs="Times New Roman"/>
      <w:b/>
      <w:bCs/>
      <w:kern w:val="2"/>
      <w:sz w:val="32"/>
      <w:szCs w:val="32"/>
    </w:rPr>
  </w:style>
  <w:style w:type="character" w:customStyle="1" w:styleId="44">
    <w:name w:val="标题 4 Char"/>
    <w:basedOn w:val="22"/>
    <w:link w:val="5"/>
    <w:qFormat/>
    <w:uiPriority w:val="0"/>
    <w:rPr>
      <w:rFonts w:ascii="Arial" w:hAnsi="Arial" w:eastAsia="黑体" w:cs="Times New Roman"/>
      <w:b/>
      <w:bCs/>
      <w:kern w:val="2"/>
      <w:sz w:val="28"/>
      <w:szCs w:val="28"/>
    </w:rPr>
  </w:style>
  <w:style w:type="character" w:customStyle="1" w:styleId="45">
    <w:name w:val="标题 5 Char"/>
    <w:basedOn w:val="22"/>
    <w:link w:val="6"/>
    <w:qFormat/>
    <w:uiPriority w:val="0"/>
    <w:rPr>
      <w:rFonts w:ascii="Tahoma" w:hAnsi="Tahoma"/>
      <w:b/>
      <w:bCs/>
      <w:sz w:val="28"/>
      <w:szCs w:val="28"/>
    </w:rPr>
  </w:style>
  <w:style w:type="character" w:customStyle="1" w:styleId="46">
    <w:name w:val="标题 2 Char"/>
    <w:basedOn w:val="22"/>
    <w:link w:val="3"/>
    <w:qFormat/>
    <w:uiPriority w:val="0"/>
    <w:rPr>
      <w:rFonts w:ascii="Cambria" w:hAnsi="Cambria" w:eastAsia="宋体" w:cs="黑体"/>
      <w:b/>
      <w:bCs/>
      <w:sz w:val="32"/>
      <w:szCs w:val="32"/>
    </w:rPr>
  </w:style>
  <w:style w:type="character" w:customStyle="1" w:styleId="47">
    <w:name w:val="文档结构图 Char"/>
    <w:basedOn w:val="22"/>
    <w:link w:val="8"/>
    <w:qFormat/>
    <w:uiPriority w:val="0"/>
    <w:rPr>
      <w:rFonts w:ascii="宋体" w:hAnsi="Tahoma" w:eastAsia="宋体"/>
      <w:sz w:val="18"/>
      <w:szCs w:val="18"/>
    </w:rPr>
  </w:style>
  <w:style w:type="character" w:customStyle="1" w:styleId="48">
    <w:name w:val="普通(网站) Char"/>
    <w:link w:val="21"/>
    <w:qFormat/>
    <w:uiPriority w:val="0"/>
    <w:rPr>
      <w:rFonts w:ascii="宋体" w:hAnsi="宋体"/>
      <w:sz w:val="24"/>
    </w:rPr>
  </w:style>
  <w:style w:type="character" w:customStyle="1" w:styleId="49">
    <w:name w:val="Header Char"/>
    <w:qFormat/>
    <w:uiPriority w:val="0"/>
    <w:rPr>
      <w:kern w:val="2"/>
      <w:sz w:val="18"/>
    </w:rPr>
  </w:style>
  <w:style w:type="character" w:customStyle="1" w:styleId="50">
    <w:name w:val="Balloon Text Char"/>
    <w:qFormat/>
    <w:uiPriority w:val="0"/>
    <w:rPr>
      <w:sz w:val="2"/>
    </w:rPr>
  </w:style>
  <w:style w:type="character" w:customStyle="1" w:styleId="51">
    <w:name w:val="Document Map Char"/>
    <w:qFormat/>
    <w:uiPriority w:val="0"/>
    <w:rPr>
      <w:rFonts w:ascii="宋体"/>
      <w:kern w:val="2"/>
      <w:sz w:val="18"/>
    </w:rPr>
  </w:style>
  <w:style w:type="character" w:customStyle="1" w:styleId="52">
    <w:name w:val="批注主题 Char"/>
    <w:basedOn w:val="53"/>
    <w:link w:val="31"/>
    <w:uiPriority w:val="0"/>
    <w:rPr>
      <w:rFonts w:cs="Times New Roman"/>
      <w:b/>
      <w:bCs/>
      <w:szCs w:val="24"/>
    </w:rPr>
  </w:style>
  <w:style w:type="character" w:customStyle="1" w:styleId="53">
    <w:name w:val="Comment Text Char"/>
    <w:qFormat/>
    <w:uiPriority w:val="0"/>
    <w:rPr>
      <w:sz w:val="24"/>
    </w:rPr>
  </w:style>
  <w:style w:type="character" w:customStyle="1" w:styleId="54">
    <w:name w:val="Comment Text Char1"/>
    <w:qFormat/>
    <w:uiPriority w:val="0"/>
    <w:rPr>
      <w:sz w:val="24"/>
    </w:rPr>
  </w:style>
  <w:style w:type="character" w:customStyle="1" w:styleId="55">
    <w:name w:val="Header Char1"/>
    <w:qFormat/>
    <w:uiPriority w:val="0"/>
    <w:rPr>
      <w:sz w:val="18"/>
    </w:rPr>
  </w:style>
  <w:style w:type="character" w:customStyle="1" w:styleId="56">
    <w:name w:val="日期 Char"/>
    <w:basedOn w:val="22"/>
    <w:link w:val="32"/>
    <w:qFormat/>
    <w:uiPriority w:val="0"/>
    <w:rPr>
      <w:rFonts w:cs="Times New Roman"/>
      <w:sz w:val="24"/>
      <w:szCs w:val="24"/>
    </w:rPr>
  </w:style>
  <w:style w:type="character" w:customStyle="1" w:styleId="57">
    <w:name w:val="Footer Char"/>
    <w:qFormat/>
    <w:uiPriority w:val="0"/>
    <w:rPr>
      <w:sz w:val="18"/>
    </w:rPr>
  </w:style>
  <w:style w:type="character" w:customStyle="1" w:styleId="58">
    <w:name w:val="Comment Subject Char"/>
    <w:uiPriority w:val="0"/>
    <w:rPr>
      <w:b/>
      <w:sz w:val="24"/>
    </w:rPr>
  </w:style>
  <w:style w:type="character" w:customStyle="1" w:styleId="59">
    <w:name w:val="Footer Char1"/>
    <w:qFormat/>
    <w:uiPriority w:val="0"/>
    <w:rPr>
      <w:sz w:val="18"/>
    </w:rPr>
  </w:style>
  <w:style w:type="character" w:customStyle="1" w:styleId="60">
    <w:name w:val="Balloon Text Char1"/>
    <w:qFormat/>
    <w:uiPriority w:val="0"/>
    <w:rPr>
      <w:sz w:val="2"/>
    </w:rPr>
  </w:style>
  <w:style w:type="character" w:customStyle="1" w:styleId="61">
    <w:name w:val="apple-converted-space"/>
    <w:basedOn w:val="22"/>
    <w:qFormat/>
    <w:uiPriority w:val="0"/>
    <w:rPr>
      <w:rFonts w:cs="Times New Roman"/>
    </w:rPr>
  </w:style>
  <w:style w:type="character" w:customStyle="1" w:styleId="62">
    <w:name w:val="Char Char15"/>
    <w:qFormat/>
    <w:uiPriority w:val="0"/>
    <w:rPr>
      <w:rFonts w:ascii="Cambria" w:hAnsi="Cambria" w:eastAsia="宋体"/>
      <w:b/>
      <w:kern w:val="2"/>
      <w:sz w:val="28"/>
    </w:rPr>
  </w:style>
  <w:style w:type="character" w:customStyle="1" w:styleId="63">
    <w:name w:val="批注引用1"/>
    <w:basedOn w:val="22"/>
    <w:qFormat/>
    <w:uiPriority w:val="0"/>
    <w:rPr>
      <w:rFonts w:cs="Times New Roman"/>
      <w:sz w:val="21"/>
    </w:rPr>
  </w:style>
  <w:style w:type="character" w:customStyle="1" w:styleId="64">
    <w:name w:val="页码1"/>
    <w:basedOn w:val="22"/>
    <w:qFormat/>
    <w:uiPriority w:val="0"/>
    <w:rPr>
      <w:rFonts w:cs="Times New Roman"/>
    </w:rPr>
  </w:style>
  <w:style w:type="character" w:customStyle="1" w:styleId="65">
    <w:name w:val="批注文字 Char"/>
    <w:basedOn w:val="22"/>
    <w:link w:val="9"/>
    <w:qFormat/>
    <w:uiPriority w:val="0"/>
    <w:rPr>
      <w:rFonts w:cs="Times New Roman"/>
      <w:sz w:val="24"/>
      <w:szCs w:val="24"/>
    </w:rPr>
  </w:style>
  <w:style w:type="character" w:customStyle="1" w:styleId="66">
    <w:name w:val="批注引用2"/>
    <w:basedOn w:val="22"/>
    <w:uiPriority w:val="0"/>
    <w:rPr>
      <w:rFonts w:cs="Times New Roman"/>
      <w:sz w:val="21"/>
      <w:szCs w:val="21"/>
    </w:rPr>
  </w:style>
  <w:style w:type="character" w:customStyle="1" w:styleId="67">
    <w:name w:val="批注文字 Char1"/>
    <w:basedOn w:val="22"/>
    <w:link w:val="9"/>
    <w:semiHidden/>
    <w:qFormat/>
    <w:uiPriority w:val="99"/>
    <w:rPr>
      <w:rFonts w:ascii="Tahoma" w:hAnsi="Tahoma"/>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84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2442</Words>
  <Characters>13923</Characters>
  <Lines>116</Lines>
  <Paragraphs>32</Paragraphs>
  <TotalTime>1</TotalTime>
  <ScaleCrop>false</ScaleCrop>
  <LinksUpToDate>false</LinksUpToDate>
  <CharactersWithSpaces>16333</CharactersWithSpaces>
  <Application>WPS Office_10.1.0.7643_F1E327BC-269C-435d-A152-05C5408002CA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笃行.</cp:lastModifiedBy>
  <cp:lastPrinted>2017-11-09T07:55:00Z</cp:lastPrinted>
  <dcterms:modified xsi:type="dcterms:W3CDTF">2018-11-06T00:15:16Z</dcterms:modified>
  <dc:title>坪坝营四洞峡景区危岩防治工程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2052-10.1.0.7643</vt:lpwstr>
  </property>
</Properties>
</file>