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313" w:rightChars="-149" w:firstLine="562" w:firstLineChars="200"/>
        <w:rPr>
          <w:rFonts w:ascii="华文仿宋" w:hAnsi="华文仿宋" w:eastAsia="华文仿宋" w:cs="华文仿宋"/>
          <w:sz w:val="32"/>
          <w:szCs w:val="32"/>
        </w:rPr>
      </w:pPr>
      <w:bookmarkStart w:id="48" w:name="_GoBack"/>
      <w:bookmarkEnd w:id="48"/>
      <w:r>
        <w:rPr>
          <w:rFonts w:hint="eastAsia" w:ascii="宋体"/>
          <w:b/>
          <w:sz w:val="28"/>
          <w:szCs w:val="28"/>
        </w:rPr>
        <w:t>项目名称：</w:t>
      </w:r>
      <w:r>
        <w:rPr>
          <w:rFonts w:hint="eastAsia" w:ascii="华文仿宋" w:hAnsi="华文仿宋" w:eastAsia="华文仿宋" w:cs="华文仿宋"/>
          <w:sz w:val="32"/>
          <w:szCs w:val="32"/>
        </w:rPr>
        <w:t>恩施大峡谷旅游开发有限公司2019年度《龙船调》剧场</w:t>
      </w:r>
      <w:r>
        <w:rPr>
          <w:rFonts w:hint="eastAsia" w:ascii="华文仿宋" w:hAnsi="华文仿宋" w:eastAsia="华文仿宋" w:cs="华文仿宋"/>
          <w:sz w:val="32"/>
          <w:szCs w:val="32"/>
          <w:lang w:eastAsia="zh-CN"/>
        </w:rPr>
        <w:t>灯光等</w:t>
      </w:r>
      <w:r>
        <w:rPr>
          <w:rFonts w:hint="eastAsia" w:ascii="华文仿宋" w:hAnsi="华文仿宋" w:eastAsia="华文仿宋" w:cs="华文仿宋"/>
          <w:sz w:val="32"/>
          <w:szCs w:val="32"/>
        </w:rPr>
        <w:t>设备定点采购项目。</w:t>
      </w:r>
    </w:p>
    <w:p>
      <w:pPr>
        <w:ind w:right="-313" w:rightChars="-149" w:firstLine="562" w:firstLineChars="200"/>
        <w:rPr>
          <w:rFonts w:ascii="宋体"/>
          <w:b/>
          <w:sz w:val="28"/>
          <w:szCs w:val="28"/>
        </w:rPr>
      </w:pPr>
      <w:r>
        <w:rPr>
          <w:rFonts w:hint="eastAsia" w:ascii="宋体"/>
          <w:b/>
          <w:sz w:val="28"/>
          <w:szCs w:val="28"/>
        </w:rPr>
        <w:t>项目编号：</w:t>
      </w:r>
      <w:r>
        <w:rPr>
          <w:rFonts w:hint="eastAsia"/>
          <w:color w:val="000000"/>
          <w:sz w:val="32"/>
        </w:rPr>
        <w:t>DG2019</w:t>
      </w:r>
      <w:r>
        <w:rPr>
          <w:color w:val="000000"/>
          <w:sz w:val="32"/>
        </w:rPr>
        <w:t>-</w:t>
      </w:r>
      <w:r>
        <w:rPr>
          <w:rFonts w:hint="eastAsia"/>
          <w:color w:val="000000"/>
          <w:sz w:val="32"/>
        </w:rPr>
        <w:t>010</w:t>
      </w:r>
      <w:r>
        <w:rPr>
          <w:rFonts w:hint="eastAsia" w:ascii="华文仿宋" w:hAnsi="华文仿宋" w:eastAsia="华文仿宋" w:cs="华文仿宋"/>
          <w:sz w:val="32"/>
          <w:szCs w:val="32"/>
        </w:rPr>
        <w:t>号</w:t>
      </w:r>
    </w:p>
    <w:p>
      <w:pPr>
        <w:jc w:val="center"/>
        <w:rPr>
          <w:rFonts w:ascii="华文仿宋" w:hAnsi="华文仿宋" w:eastAsia="华文仿宋" w:cs="华文仿宋"/>
          <w:b/>
          <w:bCs/>
          <w:sz w:val="32"/>
          <w:szCs w:val="32"/>
        </w:rPr>
      </w:pPr>
      <w:r>
        <w:rPr>
          <w:rFonts w:hint="eastAsia" w:ascii="华文仿宋" w:hAnsi="华文仿宋" w:eastAsia="华文仿宋" w:cs="华文仿宋"/>
          <w:b/>
          <w:bCs/>
          <w:sz w:val="32"/>
          <w:szCs w:val="32"/>
        </w:rPr>
        <w:t>恩施大峡谷旅游开发有限公司、</w:t>
      </w:r>
    </w:p>
    <w:p>
      <w:pPr>
        <w:jc w:val="center"/>
        <w:rPr>
          <w:rFonts w:ascii="华文仿宋" w:hAnsi="华文仿宋" w:eastAsia="华文仿宋" w:cs="华文仿宋"/>
          <w:b/>
          <w:bCs/>
          <w:sz w:val="32"/>
          <w:szCs w:val="32"/>
        </w:rPr>
      </w:pPr>
      <w:r>
        <w:rPr>
          <w:rFonts w:hint="eastAsia" w:ascii="华文仿宋" w:hAnsi="华文仿宋" w:eastAsia="华文仿宋" w:cs="华文仿宋"/>
          <w:b/>
          <w:bCs/>
          <w:sz w:val="32"/>
          <w:szCs w:val="32"/>
        </w:rPr>
        <w:t>2019年度《龙船调》剧场</w:t>
      </w:r>
      <w:r>
        <w:rPr>
          <w:rFonts w:hint="eastAsia" w:ascii="华文仿宋" w:hAnsi="华文仿宋" w:eastAsia="华文仿宋" w:cs="华文仿宋"/>
          <w:b/>
          <w:bCs/>
          <w:sz w:val="32"/>
          <w:szCs w:val="32"/>
          <w:lang w:eastAsia="zh-CN"/>
        </w:rPr>
        <w:t>灯光等</w:t>
      </w:r>
      <w:r>
        <w:rPr>
          <w:rFonts w:hint="eastAsia" w:ascii="华文仿宋" w:hAnsi="华文仿宋" w:eastAsia="华文仿宋" w:cs="华文仿宋"/>
          <w:b/>
          <w:bCs/>
          <w:sz w:val="32"/>
          <w:szCs w:val="32"/>
        </w:rPr>
        <w:t>设备定点采购项目</w:t>
      </w:r>
    </w:p>
    <w:p>
      <w:pPr>
        <w:jc w:val="center"/>
        <w:rPr>
          <w:rFonts w:ascii="华文仿宋" w:hAnsi="华文仿宋" w:eastAsia="华文仿宋" w:cs="华文仿宋"/>
          <w:b/>
          <w:bCs/>
          <w:sz w:val="32"/>
          <w:szCs w:val="32"/>
        </w:rPr>
      </w:pPr>
    </w:p>
    <w:p>
      <w:pPr>
        <w:jc w:val="center"/>
        <w:rPr>
          <w:rFonts w:ascii="宋体" w:hAnsi="宋体"/>
          <w:b/>
          <w:sz w:val="60"/>
          <w:szCs w:val="60"/>
        </w:rPr>
      </w:pPr>
      <w:r>
        <w:rPr>
          <w:rFonts w:hint="eastAsia" w:ascii="宋体" w:hAnsi="宋体"/>
          <w:b/>
          <w:sz w:val="60"/>
          <w:szCs w:val="60"/>
        </w:rPr>
        <w:t>竞</w:t>
      </w:r>
    </w:p>
    <w:p>
      <w:pPr>
        <w:jc w:val="center"/>
        <w:rPr>
          <w:rFonts w:ascii="宋体" w:hAnsi="宋体"/>
          <w:b/>
          <w:sz w:val="60"/>
          <w:szCs w:val="60"/>
        </w:rPr>
      </w:pPr>
      <w:r>
        <w:rPr>
          <w:rFonts w:hint="eastAsia" w:ascii="宋体" w:hAnsi="宋体"/>
          <w:b/>
          <w:sz w:val="60"/>
          <w:szCs w:val="60"/>
        </w:rPr>
        <w:t>争</w:t>
      </w:r>
    </w:p>
    <w:p>
      <w:pPr>
        <w:jc w:val="center"/>
        <w:rPr>
          <w:rFonts w:ascii="宋体" w:hAnsi="宋体"/>
          <w:b/>
          <w:sz w:val="60"/>
          <w:szCs w:val="60"/>
        </w:rPr>
      </w:pPr>
      <w:r>
        <w:rPr>
          <w:rFonts w:hint="eastAsia" w:ascii="宋体" w:hAnsi="宋体"/>
          <w:b/>
          <w:sz w:val="60"/>
          <w:szCs w:val="60"/>
        </w:rPr>
        <w:t>性</w:t>
      </w:r>
    </w:p>
    <w:p>
      <w:pPr>
        <w:jc w:val="center"/>
        <w:rPr>
          <w:rFonts w:ascii="宋体" w:hAnsi="宋体"/>
          <w:b/>
          <w:sz w:val="60"/>
          <w:szCs w:val="60"/>
        </w:rPr>
      </w:pPr>
      <w:r>
        <w:rPr>
          <w:rFonts w:hint="eastAsia" w:ascii="宋体" w:hAnsi="宋体"/>
          <w:b/>
          <w:sz w:val="60"/>
          <w:szCs w:val="60"/>
        </w:rPr>
        <w:t>谈</w:t>
      </w:r>
    </w:p>
    <w:p>
      <w:pPr>
        <w:jc w:val="center"/>
        <w:rPr>
          <w:rFonts w:ascii="宋体" w:hAnsi="宋体"/>
          <w:b/>
          <w:sz w:val="60"/>
          <w:szCs w:val="60"/>
        </w:rPr>
      </w:pPr>
      <w:r>
        <w:rPr>
          <w:rFonts w:hint="eastAsia" w:ascii="宋体" w:hAnsi="宋体"/>
          <w:b/>
          <w:sz w:val="60"/>
          <w:szCs w:val="60"/>
        </w:rPr>
        <w:t>判</w:t>
      </w:r>
    </w:p>
    <w:p>
      <w:pPr>
        <w:jc w:val="center"/>
        <w:rPr>
          <w:rFonts w:ascii="宋体" w:hAnsi="宋体"/>
          <w:b/>
          <w:sz w:val="60"/>
          <w:szCs w:val="60"/>
        </w:rPr>
      </w:pPr>
      <w:r>
        <w:rPr>
          <w:rFonts w:hint="eastAsia" w:ascii="宋体" w:hAnsi="宋体"/>
          <w:b/>
          <w:sz w:val="60"/>
          <w:szCs w:val="60"/>
        </w:rPr>
        <w:t>文</w:t>
      </w:r>
    </w:p>
    <w:p>
      <w:pPr>
        <w:jc w:val="center"/>
        <w:rPr>
          <w:rFonts w:ascii="宋体" w:hAnsi="宋体"/>
          <w:b/>
          <w:sz w:val="60"/>
          <w:szCs w:val="60"/>
        </w:rPr>
      </w:pPr>
      <w:r>
        <w:rPr>
          <w:rFonts w:hint="eastAsia" w:ascii="宋体" w:hAnsi="宋体"/>
          <w:b/>
          <w:sz w:val="60"/>
          <w:szCs w:val="60"/>
        </w:rPr>
        <w:t>件</w:t>
      </w:r>
    </w:p>
    <w:p>
      <w:pPr>
        <w:jc w:val="center"/>
        <w:rPr>
          <w:rFonts w:ascii="宋体" w:hAnsi="宋体"/>
          <w:sz w:val="60"/>
          <w:szCs w:val="60"/>
        </w:rPr>
      </w:pPr>
    </w:p>
    <w:p>
      <w:pPr>
        <w:jc w:val="center"/>
        <w:rPr>
          <w:rFonts w:ascii="宋体" w:hAnsi="宋体"/>
          <w:sz w:val="44"/>
          <w:szCs w:val="44"/>
        </w:rPr>
      </w:pPr>
    </w:p>
    <w:p>
      <w:pPr>
        <w:jc w:val="center"/>
        <w:rPr>
          <w:rFonts w:ascii="宋体" w:hAnsi="宋体"/>
          <w:b/>
          <w:sz w:val="30"/>
          <w:szCs w:val="30"/>
        </w:rPr>
      </w:pPr>
      <w:r>
        <w:rPr>
          <w:rFonts w:hint="eastAsia" w:ascii="宋体" w:hAnsi="宋体"/>
          <w:b/>
          <w:sz w:val="30"/>
          <w:szCs w:val="30"/>
        </w:rPr>
        <w:t>恩施大峡谷旅游开发有限公司采购中心制</w:t>
      </w:r>
    </w:p>
    <w:p>
      <w:pPr>
        <w:jc w:val="center"/>
        <w:rPr>
          <w:rFonts w:ascii="宋体" w:hAnsi="宋体"/>
          <w:b/>
          <w:sz w:val="30"/>
          <w:szCs w:val="30"/>
        </w:rPr>
      </w:pPr>
      <w:r>
        <w:rPr>
          <w:rFonts w:hint="eastAsia" w:ascii="宋体" w:hAnsi="宋体"/>
          <w:b/>
          <w:sz w:val="30"/>
          <w:szCs w:val="30"/>
        </w:rPr>
        <w:t>二〇一九年七月</w:t>
      </w:r>
    </w:p>
    <w:p>
      <w:pPr>
        <w:jc w:val="center"/>
        <w:rPr>
          <w:rFonts w:ascii="宋体" w:hAnsi="宋体"/>
          <w:b/>
          <w:sz w:val="30"/>
          <w:szCs w:val="30"/>
        </w:rPr>
      </w:pPr>
    </w:p>
    <w:p>
      <w:pPr>
        <w:jc w:val="center"/>
        <w:rPr>
          <w:rFonts w:ascii="宋体" w:hAnsi="宋体"/>
          <w:b/>
          <w:sz w:val="30"/>
          <w:szCs w:val="30"/>
        </w:rPr>
      </w:pPr>
    </w:p>
    <w:p>
      <w:pPr>
        <w:pStyle w:val="10"/>
        <w:tabs>
          <w:tab w:val="left" w:pos="672"/>
          <w:tab w:val="left" w:pos="2400"/>
          <w:tab w:val="center" w:pos="4252"/>
        </w:tabs>
        <w:spacing w:line="480" w:lineRule="exact"/>
        <w:jc w:val="left"/>
        <w:rPr>
          <w:b/>
          <w:color w:val="000000"/>
          <w:sz w:val="32"/>
          <w:szCs w:val="32"/>
        </w:rPr>
      </w:pPr>
      <w:r>
        <w:rPr>
          <w:b/>
          <w:color w:val="000000"/>
          <w:sz w:val="32"/>
          <w:szCs w:val="32"/>
        </w:rPr>
        <w:tab/>
      </w:r>
      <w:r>
        <w:rPr>
          <w:b/>
          <w:color w:val="000000"/>
          <w:sz w:val="32"/>
          <w:szCs w:val="32"/>
        </w:rPr>
        <w:tab/>
      </w:r>
      <w:r>
        <w:rPr>
          <w:b/>
          <w:color w:val="000000"/>
          <w:sz w:val="32"/>
          <w:szCs w:val="32"/>
        </w:rPr>
        <w:tab/>
      </w:r>
    </w:p>
    <w:p>
      <w:pPr>
        <w:pStyle w:val="10"/>
        <w:tabs>
          <w:tab w:val="left" w:pos="672"/>
          <w:tab w:val="left" w:pos="2400"/>
          <w:tab w:val="center" w:pos="4252"/>
        </w:tabs>
        <w:spacing w:line="480" w:lineRule="exact"/>
        <w:jc w:val="left"/>
        <w:rPr>
          <w:b/>
          <w:color w:val="000000"/>
          <w:sz w:val="32"/>
          <w:szCs w:val="32"/>
        </w:rPr>
      </w:pPr>
    </w:p>
    <w:p>
      <w:pPr>
        <w:pStyle w:val="10"/>
        <w:tabs>
          <w:tab w:val="left" w:pos="672"/>
          <w:tab w:val="left" w:pos="2400"/>
          <w:tab w:val="center" w:pos="4252"/>
        </w:tabs>
        <w:spacing w:line="480" w:lineRule="exact"/>
        <w:jc w:val="center"/>
        <w:rPr>
          <w:b/>
          <w:color w:val="000000"/>
          <w:sz w:val="32"/>
          <w:szCs w:val="32"/>
        </w:rPr>
      </w:pPr>
      <w:r>
        <w:rPr>
          <w:rFonts w:hint="eastAsia"/>
          <w:b/>
          <w:color w:val="000000"/>
          <w:sz w:val="32"/>
          <w:szCs w:val="32"/>
        </w:rPr>
        <w:t>目   录</w:t>
      </w:r>
    </w:p>
    <w:p>
      <w:pPr>
        <w:pStyle w:val="10"/>
        <w:tabs>
          <w:tab w:val="left" w:pos="672"/>
        </w:tabs>
        <w:spacing w:line="480" w:lineRule="exact"/>
        <w:rPr>
          <w:color w:val="000000"/>
          <w:sz w:val="24"/>
          <w:szCs w:val="24"/>
        </w:rPr>
      </w:pPr>
    </w:p>
    <w:p>
      <w:pPr>
        <w:pStyle w:val="10"/>
        <w:tabs>
          <w:tab w:val="left" w:pos="672"/>
        </w:tabs>
        <w:spacing w:line="480" w:lineRule="exact"/>
        <w:rPr>
          <w:color w:val="000000"/>
          <w:sz w:val="24"/>
          <w:szCs w:val="24"/>
        </w:rPr>
      </w:pPr>
      <w:r>
        <w:rPr>
          <w:rFonts w:hint="eastAsia"/>
          <w:color w:val="000000"/>
          <w:sz w:val="24"/>
          <w:szCs w:val="24"/>
        </w:rPr>
        <w:t>谈判邀请函．．．．．．．．．．．．．．．．．．．．．．．．．．．．．．．．．．．．．．．．．．．．．．．．．．．．．．．．．．．4</w:t>
      </w:r>
    </w:p>
    <w:p>
      <w:pPr>
        <w:pStyle w:val="10"/>
        <w:tabs>
          <w:tab w:val="left" w:pos="672"/>
        </w:tabs>
        <w:spacing w:line="480" w:lineRule="exact"/>
        <w:rPr>
          <w:color w:val="000000"/>
          <w:sz w:val="24"/>
          <w:szCs w:val="24"/>
        </w:rPr>
      </w:pPr>
      <w:r>
        <w:rPr>
          <w:rFonts w:hint="eastAsia"/>
          <w:color w:val="000000"/>
          <w:sz w:val="24"/>
          <w:szCs w:val="24"/>
        </w:rPr>
        <w:t>谈判须知前附表．．．．．．．．．．．．．．．．．．．．．．．．．．．．.．．．．．．．．．．．．．．．．．．．．．．．．10</w:t>
      </w:r>
    </w:p>
    <w:p>
      <w:pPr>
        <w:pStyle w:val="10"/>
        <w:tabs>
          <w:tab w:val="left" w:pos="672"/>
        </w:tabs>
        <w:spacing w:line="480" w:lineRule="exact"/>
        <w:rPr>
          <w:color w:val="000000"/>
          <w:sz w:val="24"/>
          <w:szCs w:val="24"/>
        </w:rPr>
      </w:pPr>
      <w:r>
        <w:rPr>
          <w:rFonts w:hint="eastAsia"/>
          <w:color w:val="000000"/>
          <w:sz w:val="24"/>
          <w:szCs w:val="24"/>
        </w:rPr>
        <w:t>第一部份 谈判须知</w:t>
      </w:r>
    </w:p>
    <w:p>
      <w:pPr>
        <w:pStyle w:val="10"/>
        <w:tabs>
          <w:tab w:val="left" w:pos="672"/>
        </w:tabs>
        <w:spacing w:line="480" w:lineRule="exact"/>
        <w:rPr>
          <w:color w:val="000000"/>
          <w:sz w:val="24"/>
          <w:szCs w:val="24"/>
        </w:rPr>
      </w:pPr>
      <w:r>
        <w:rPr>
          <w:rFonts w:hint="eastAsia"/>
          <w:color w:val="000000"/>
          <w:sz w:val="24"/>
          <w:szCs w:val="24"/>
        </w:rPr>
        <w:t>Ａ  说  明．．．．．．．．．．．．．．．．．．．．．．．．．．．．．．．．．．．．．．．．．．．．．．．．．．．．．．．．．． 11</w:t>
      </w:r>
    </w:p>
    <w:p>
      <w:pPr>
        <w:pStyle w:val="10"/>
        <w:tabs>
          <w:tab w:val="left" w:pos="672"/>
        </w:tabs>
        <w:spacing w:line="480" w:lineRule="exact"/>
        <w:rPr>
          <w:color w:val="000000"/>
          <w:sz w:val="24"/>
          <w:szCs w:val="24"/>
        </w:rPr>
      </w:pPr>
      <w:r>
        <w:rPr>
          <w:rFonts w:hint="eastAsia"/>
          <w:color w:val="000000"/>
          <w:sz w:val="24"/>
          <w:szCs w:val="24"/>
        </w:rPr>
        <w:t>项目需求及说明</w:t>
      </w:r>
      <w:r>
        <w:rPr>
          <w:rFonts w:hint="eastAsia"/>
          <w:color w:val="000000"/>
          <w:sz w:val="24"/>
          <w:szCs w:val="24"/>
        </w:rPr>
        <w:tab/>
      </w:r>
      <w:r>
        <w:rPr>
          <w:rFonts w:hint="eastAsia"/>
          <w:color w:val="000000"/>
          <w:sz w:val="24"/>
          <w:szCs w:val="24"/>
        </w:rPr>
        <w:t>．．．．．．．．．．．．．．．．．．．．．．．．．．．．．．．．．．．．．．．．．．．．．．．．．．．．11</w:t>
      </w:r>
    </w:p>
    <w:p>
      <w:pPr>
        <w:pStyle w:val="10"/>
        <w:tabs>
          <w:tab w:val="left" w:pos="672"/>
        </w:tabs>
        <w:spacing w:line="480" w:lineRule="exact"/>
        <w:rPr>
          <w:color w:val="000000"/>
          <w:sz w:val="24"/>
          <w:szCs w:val="24"/>
        </w:rPr>
      </w:pPr>
      <w:r>
        <w:rPr>
          <w:rFonts w:hint="eastAsia"/>
          <w:color w:val="000000"/>
          <w:sz w:val="24"/>
          <w:szCs w:val="24"/>
        </w:rPr>
        <w:t>1.合格的响应供应商．．．．．．．．．．．．．．．．．．．．．．．．．．．．．．．．．．．．．．．．．．．．．．．．．．．11</w:t>
      </w:r>
    </w:p>
    <w:p>
      <w:pPr>
        <w:pStyle w:val="10"/>
        <w:tabs>
          <w:tab w:val="left" w:pos="672"/>
        </w:tabs>
        <w:spacing w:line="480" w:lineRule="exact"/>
        <w:rPr>
          <w:color w:val="000000"/>
          <w:sz w:val="24"/>
          <w:szCs w:val="24"/>
        </w:rPr>
      </w:pPr>
      <w:r>
        <w:rPr>
          <w:rFonts w:hint="eastAsia"/>
          <w:color w:val="000000"/>
          <w:sz w:val="24"/>
          <w:szCs w:val="24"/>
        </w:rPr>
        <w:t>2.谈判费用的承担</w:t>
      </w:r>
      <w:r>
        <w:rPr>
          <w:rFonts w:hint="eastAsia"/>
          <w:color w:val="000000"/>
          <w:sz w:val="24"/>
          <w:szCs w:val="24"/>
        </w:rPr>
        <w:tab/>
      </w:r>
      <w:r>
        <w:rPr>
          <w:rFonts w:hint="eastAsia"/>
          <w:color w:val="000000"/>
          <w:sz w:val="24"/>
          <w:szCs w:val="24"/>
        </w:rPr>
        <w:t>．．．．．．．．．．．．．．．．．．．．．．．．．．．．．．．．．．．．．．．．．．．．．．．．．．．．11</w:t>
      </w:r>
    </w:p>
    <w:p>
      <w:pPr>
        <w:pStyle w:val="10"/>
        <w:tabs>
          <w:tab w:val="left" w:pos="672"/>
        </w:tabs>
        <w:spacing w:line="480" w:lineRule="exact"/>
        <w:rPr>
          <w:color w:val="000000"/>
          <w:sz w:val="24"/>
          <w:szCs w:val="24"/>
        </w:rPr>
      </w:pPr>
      <w:r>
        <w:rPr>
          <w:rFonts w:hint="eastAsia"/>
          <w:color w:val="000000"/>
          <w:sz w:val="24"/>
          <w:szCs w:val="24"/>
        </w:rPr>
        <w:t>Ｂ　谈判文件说明</w:t>
      </w:r>
      <w:r>
        <w:rPr>
          <w:rFonts w:hint="eastAsia"/>
          <w:color w:val="000000"/>
          <w:sz w:val="24"/>
          <w:szCs w:val="24"/>
        </w:rPr>
        <w:tab/>
      </w:r>
      <w:r>
        <w:rPr>
          <w:rFonts w:hint="eastAsia"/>
          <w:color w:val="000000"/>
          <w:sz w:val="24"/>
          <w:szCs w:val="24"/>
        </w:rPr>
        <w:t>．．．．．．．．．．．．．．．．．．．．．．．．．．．．．．．．．．．．．．．．．．．．．．．．．．．．12</w:t>
      </w:r>
    </w:p>
    <w:p>
      <w:pPr>
        <w:pStyle w:val="10"/>
        <w:tabs>
          <w:tab w:val="left" w:pos="672"/>
        </w:tabs>
        <w:spacing w:line="480" w:lineRule="exact"/>
        <w:rPr>
          <w:color w:val="000000"/>
          <w:sz w:val="24"/>
          <w:szCs w:val="24"/>
        </w:rPr>
      </w:pPr>
      <w:r>
        <w:rPr>
          <w:rFonts w:hint="eastAsia"/>
          <w:color w:val="000000"/>
          <w:sz w:val="24"/>
          <w:szCs w:val="24"/>
        </w:rPr>
        <w:t>3.谈判文件构成式．．．．．．．．．．．．．．．．．．．．．．．．．．．．．．．．．．．．．．．．．．．．．．．．．．．．．12</w:t>
      </w:r>
    </w:p>
    <w:p>
      <w:pPr>
        <w:pStyle w:val="10"/>
        <w:tabs>
          <w:tab w:val="left" w:pos="672"/>
        </w:tabs>
        <w:spacing w:line="480" w:lineRule="exact"/>
        <w:rPr>
          <w:color w:val="000000"/>
          <w:sz w:val="24"/>
          <w:szCs w:val="24"/>
        </w:rPr>
      </w:pPr>
      <w:r>
        <w:rPr>
          <w:rFonts w:hint="eastAsia"/>
          <w:color w:val="000000"/>
          <w:sz w:val="24"/>
          <w:szCs w:val="24"/>
        </w:rPr>
        <w:t>4.谈判文件的澄清</w:t>
      </w:r>
      <w:r>
        <w:rPr>
          <w:rFonts w:hint="eastAsia"/>
          <w:color w:val="000000"/>
          <w:sz w:val="24"/>
          <w:szCs w:val="24"/>
        </w:rPr>
        <w:tab/>
      </w:r>
      <w:r>
        <w:rPr>
          <w:rFonts w:hint="eastAsia"/>
          <w:color w:val="000000"/>
          <w:sz w:val="24"/>
          <w:szCs w:val="24"/>
        </w:rPr>
        <w:t>．．．．．．．．．．．．．．．．．．．．．．．．．．．．．．．．．．．．．．．．．．．．．．．．．．．．12</w:t>
      </w:r>
    </w:p>
    <w:p>
      <w:pPr>
        <w:pStyle w:val="10"/>
        <w:tabs>
          <w:tab w:val="left" w:pos="672"/>
        </w:tabs>
        <w:spacing w:line="480" w:lineRule="exact"/>
        <w:rPr>
          <w:color w:val="000000"/>
          <w:sz w:val="24"/>
          <w:szCs w:val="24"/>
        </w:rPr>
      </w:pPr>
      <w:r>
        <w:rPr>
          <w:rFonts w:hint="eastAsia"/>
          <w:color w:val="000000"/>
          <w:sz w:val="24"/>
          <w:szCs w:val="24"/>
        </w:rPr>
        <w:t>5.谈判文件的修改</w:t>
      </w:r>
      <w:r>
        <w:rPr>
          <w:rFonts w:hint="eastAsia"/>
          <w:color w:val="000000"/>
          <w:sz w:val="24"/>
          <w:szCs w:val="24"/>
        </w:rPr>
        <w:tab/>
      </w:r>
      <w:r>
        <w:rPr>
          <w:rFonts w:hint="eastAsia"/>
          <w:color w:val="000000"/>
          <w:sz w:val="24"/>
          <w:szCs w:val="24"/>
        </w:rPr>
        <w:t>．．．．．．．．．．．．．．．．．．．．．．．．．．．．．．．．．．．．．．．．．．．．．．．．．．．．13</w:t>
      </w:r>
    </w:p>
    <w:p>
      <w:pPr>
        <w:pStyle w:val="10"/>
        <w:tabs>
          <w:tab w:val="left" w:pos="672"/>
        </w:tabs>
        <w:spacing w:line="480" w:lineRule="exact"/>
        <w:rPr>
          <w:color w:val="000000"/>
          <w:sz w:val="24"/>
          <w:szCs w:val="24"/>
        </w:rPr>
      </w:pPr>
      <w:r>
        <w:rPr>
          <w:rFonts w:hint="eastAsia"/>
          <w:color w:val="000000"/>
          <w:sz w:val="24"/>
          <w:szCs w:val="24"/>
        </w:rPr>
        <w:t>6.谈判文件的约束力</w:t>
      </w:r>
      <w:r>
        <w:rPr>
          <w:rFonts w:hint="eastAsia"/>
          <w:color w:val="000000"/>
          <w:sz w:val="24"/>
          <w:szCs w:val="24"/>
        </w:rPr>
        <w:tab/>
      </w:r>
      <w:r>
        <w:rPr>
          <w:rFonts w:hint="eastAsia"/>
          <w:color w:val="000000"/>
          <w:sz w:val="24"/>
          <w:szCs w:val="24"/>
        </w:rPr>
        <w:t>．．．．．．．．．．．．．．．．．．．．．．．．．．．．．．．．．．．．．．．．．．．．．．．．13</w:t>
      </w:r>
    </w:p>
    <w:p>
      <w:pPr>
        <w:pStyle w:val="10"/>
        <w:tabs>
          <w:tab w:val="left" w:pos="672"/>
        </w:tabs>
        <w:spacing w:line="480" w:lineRule="exact"/>
        <w:rPr>
          <w:color w:val="000000"/>
          <w:sz w:val="24"/>
          <w:szCs w:val="24"/>
        </w:rPr>
      </w:pPr>
      <w:r>
        <w:rPr>
          <w:rFonts w:hint="eastAsia"/>
          <w:color w:val="000000"/>
          <w:sz w:val="24"/>
          <w:szCs w:val="24"/>
        </w:rPr>
        <w:t>Ｃ 投标文件的编写</w:t>
      </w:r>
      <w:r>
        <w:rPr>
          <w:rFonts w:hint="eastAsia"/>
          <w:color w:val="000000"/>
          <w:sz w:val="24"/>
          <w:szCs w:val="24"/>
        </w:rPr>
        <w:tab/>
      </w:r>
      <w:r>
        <w:rPr>
          <w:rFonts w:hint="eastAsia"/>
          <w:color w:val="000000"/>
          <w:sz w:val="24"/>
          <w:szCs w:val="24"/>
        </w:rPr>
        <w:t>．．．．．．．．．．．．．．．．．．．．．．．．．．．．．．．．．．．．．．．．．．．．．．．．．．．．13</w:t>
      </w:r>
    </w:p>
    <w:p>
      <w:pPr>
        <w:pStyle w:val="10"/>
        <w:tabs>
          <w:tab w:val="left" w:pos="672"/>
        </w:tabs>
        <w:spacing w:line="480" w:lineRule="exact"/>
        <w:rPr>
          <w:color w:val="000000"/>
          <w:sz w:val="24"/>
          <w:szCs w:val="24"/>
        </w:rPr>
      </w:pPr>
      <w:r>
        <w:rPr>
          <w:rFonts w:hint="eastAsia"/>
          <w:color w:val="000000"/>
          <w:sz w:val="24"/>
          <w:szCs w:val="24"/>
        </w:rPr>
        <w:t>7.要求．．．．．．．．．．．．．．．．．．．．．．．．．．．．．．．．．．．．．．．．．．．．．．．．．．．．．．．．．．．．．．．13</w:t>
      </w:r>
    </w:p>
    <w:p>
      <w:pPr>
        <w:pStyle w:val="10"/>
        <w:tabs>
          <w:tab w:val="left" w:pos="672"/>
        </w:tabs>
        <w:spacing w:line="480" w:lineRule="exact"/>
        <w:rPr>
          <w:color w:val="000000"/>
          <w:sz w:val="24"/>
          <w:szCs w:val="24"/>
        </w:rPr>
      </w:pPr>
      <w:r>
        <w:rPr>
          <w:rFonts w:hint="eastAsia"/>
          <w:color w:val="000000"/>
          <w:sz w:val="24"/>
          <w:szCs w:val="24"/>
        </w:rPr>
        <w:t>8.谈判响应文件的组成</w:t>
      </w:r>
      <w:r>
        <w:rPr>
          <w:rFonts w:hint="eastAsia"/>
          <w:color w:val="000000"/>
          <w:sz w:val="24"/>
          <w:szCs w:val="24"/>
        </w:rPr>
        <w:tab/>
      </w:r>
      <w:r>
        <w:rPr>
          <w:rFonts w:hint="eastAsia"/>
          <w:color w:val="000000"/>
          <w:sz w:val="24"/>
          <w:szCs w:val="24"/>
        </w:rPr>
        <w:t>．．．．．．．．．．．．．．．．．．．．．．．．．．．．．．．．．．．．．．．．．．．．．．．14</w:t>
      </w:r>
    </w:p>
    <w:p>
      <w:pPr>
        <w:pStyle w:val="10"/>
        <w:tabs>
          <w:tab w:val="left" w:pos="672"/>
        </w:tabs>
        <w:spacing w:line="480" w:lineRule="exact"/>
        <w:rPr>
          <w:color w:val="000000"/>
          <w:sz w:val="24"/>
          <w:szCs w:val="24"/>
        </w:rPr>
      </w:pPr>
      <w:r>
        <w:rPr>
          <w:rFonts w:hint="eastAsia"/>
          <w:color w:val="000000"/>
          <w:sz w:val="24"/>
          <w:szCs w:val="24"/>
        </w:rPr>
        <w:t>9.谈判响应文件格式</w:t>
      </w:r>
      <w:r>
        <w:rPr>
          <w:rFonts w:hint="eastAsia"/>
          <w:color w:val="000000"/>
          <w:sz w:val="24"/>
          <w:szCs w:val="24"/>
        </w:rPr>
        <w:tab/>
      </w:r>
      <w:r>
        <w:rPr>
          <w:rFonts w:hint="eastAsia"/>
          <w:color w:val="000000"/>
          <w:sz w:val="24"/>
          <w:szCs w:val="24"/>
        </w:rPr>
        <w:t>．．．．．．．．．．．．．．．．．．．．．．．．．．．．．．．．．．．．．．．．．．．．．．．15</w:t>
      </w:r>
    </w:p>
    <w:p>
      <w:pPr>
        <w:pStyle w:val="10"/>
        <w:tabs>
          <w:tab w:val="left" w:pos="672"/>
        </w:tabs>
        <w:spacing w:line="480" w:lineRule="exact"/>
        <w:rPr>
          <w:color w:val="000000"/>
          <w:sz w:val="24"/>
          <w:szCs w:val="24"/>
        </w:rPr>
      </w:pPr>
      <w:r>
        <w:rPr>
          <w:rFonts w:hint="eastAsia"/>
          <w:color w:val="000000"/>
          <w:sz w:val="24"/>
          <w:szCs w:val="24"/>
        </w:rPr>
        <w:t>10.谈判报价</w:t>
      </w:r>
      <w:r>
        <w:rPr>
          <w:rFonts w:hint="eastAsia"/>
          <w:color w:val="000000"/>
          <w:sz w:val="24"/>
          <w:szCs w:val="24"/>
        </w:rPr>
        <w:tab/>
      </w:r>
      <w:r>
        <w:rPr>
          <w:rFonts w:hint="eastAsia"/>
          <w:color w:val="000000"/>
          <w:sz w:val="24"/>
          <w:szCs w:val="24"/>
        </w:rPr>
        <w:t>．．．．．．．．．．．．．．．．．．．．．．．．．．．．．．．．．．．．．．．．．．．．．．．．．．．．．．16</w:t>
      </w:r>
    </w:p>
    <w:p>
      <w:pPr>
        <w:pStyle w:val="10"/>
        <w:tabs>
          <w:tab w:val="left" w:pos="672"/>
        </w:tabs>
        <w:spacing w:line="480" w:lineRule="exact"/>
        <w:rPr>
          <w:color w:val="000000"/>
          <w:sz w:val="24"/>
          <w:szCs w:val="24"/>
        </w:rPr>
      </w:pPr>
      <w:r>
        <w:rPr>
          <w:rFonts w:hint="eastAsia"/>
          <w:color w:val="000000"/>
          <w:sz w:val="24"/>
          <w:szCs w:val="24"/>
        </w:rPr>
        <w:t>11.证明响应供应商合格和资格的文件．．．．．．．．．．．．．．．．．．．．．．．．．．．．．．．．．．．16</w:t>
      </w:r>
    </w:p>
    <w:p>
      <w:pPr>
        <w:pStyle w:val="10"/>
        <w:tabs>
          <w:tab w:val="left" w:pos="672"/>
        </w:tabs>
        <w:spacing w:line="480" w:lineRule="exact"/>
        <w:rPr>
          <w:color w:val="000000"/>
          <w:sz w:val="24"/>
          <w:szCs w:val="24"/>
        </w:rPr>
      </w:pPr>
      <w:r>
        <w:rPr>
          <w:rFonts w:hint="eastAsia"/>
          <w:color w:val="000000"/>
          <w:sz w:val="24"/>
          <w:szCs w:val="24"/>
        </w:rPr>
        <w:t>12.谈判保证金</w:t>
      </w:r>
      <w:r>
        <w:rPr>
          <w:rFonts w:hint="eastAsia"/>
          <w:color w:val="000000"/>
          <w:sz w:val="24"/>
          <w:szCs w:val="24"/>
        </w:rPr>
        <w:tab/>
      </w:r>
      <w:r>
        <w:rPr>
          <w:rFonts w:hint="eastAsia"/>
          <w:color w:val="000000"/>
          <w:sz w:val="24"/>
          <w:szCs w:val="24"/>
        </w:rPr>
        <w:t>．．．．．．．．．．．．．．．．．．．．．．．．．．．．．．．．．．．．．．．．．．．．．．．．．．．．．．16</w:t>
      </w:r>
    </w:p>
    <w:p>
      <w:pPr>
        <w:pStyle w:val="10"/>
        <w:tabs>
          <w:tab w:val="left" w:pos="672"/>
        </w:tabs>
        <w:spacing w:line="480" w:lineRule="exact"/>
        <w:rPr>
          <w:color w:val="000000"/>
          <w:sz w:val="24"/>
          <w:szCs w:val="24"/>
        </w:rPr>
      </w:pPr>
      <w:r>
        <w:rPr>
          <w:rFonts w:hint="eastAsia"/>
          <w:color w:val="000000"/>
          <w:sz w:val="24"/>
          <w:szCs w:val="24"/>
        </w:rPr>
        <w:t>13.谈判响应文件的签署及规定</w:t>
      </w:r>
      <w:r>
        <w:rPr>
          <w:rFonts w:hint="eastAsia"/>
          <w:color w:val="000000"/>
          <w:sz w:val="24"/>
          <w:szCs w:val="24"/>
        </w:rPr>
        <w:tab/>
      </w:r>
      <w:r>
        <w:rPr>
          <w:rFonts w:hint="eastAsia"/>
          <w:color w:val="000000"/>
          <w:sz w:val="24"/>
          <w:szCs w:val="24"/>
        </w:rPr>
        <w:t>．．．．．．．．．．．．．．．．．．．．．．．．．．．．．．．．．．．．．．．．16</w:t>
      </w:r>
    </w:p>
    <w:p>
      <w:pPr>
        <w:pStyle w:val="10"/>
        <w:tabs>
          <w:tab w:val="left" w:pos="672"/>
        </w:tabs>
        <w:spacing w:line="480" w:lineRule="exact"/>
        <w:rPr>
          <w:color w:val="000000"/>
          <w:sz w:val="24"/>
          <w:szCs w:val="24"/>
        </w:rPr>
      </w:pPr>
      <w:r>
        <w:rPr>
          <w:rFonts w:hint="eastAsia"/>
          <w:color w:val="000000"/>
          <w:sz w:val="24"/>
          <w:szCs w:val="24"/>
        </w:rPr>
        <w:t>Ｄ  谈判响应文件的递交</w:t>
      </w:r>
      <w:r>
        <w:rPr>
          <w:rFonts w:hint="eastAsia"/>
          <w:color w:val="000000"/>
          <w:sz w:val="24"/>
          <w:szCs w:val="24"/>
        </w:rPr>
        <w:tab/>
      </w:r>
      <w:r>
        <w:rPr>
          <w:rFonts w:hint="eastAsia"/>
          <w:color w:val="000000"/>
          <w:sz w:val="24"/>
          <w:szCs w:val="24"/>
        </w:rPr>
        <w:t>．．．．．．．．．．．．．．．．．．．．．．．．．．．．．．．．．．．．．．．．．．．．17</w:t>
      </w:r>
    </w:p>
    <w:p>
      <w:pPr>
        <w:pStyle w:val="10"/>
        <w:tabs>
          <w:tab w:val="left" w:pos="672"/>
        </w:tabs>
        <w:spacing w:line="480" w:lineRule="exact"/>
        <w:rPr>
          <w:color w:val="000000"/>
          <w:sz w:val="24"/>
          <w:szCs w:val="24"/>
        </w:rPr>
      </w:pPr>
      <w:r>
        <w:rPr>
          <w:rFonts w:hint="eastAsia"/>
          <w:color w:val="000000"/>
          <w:sz w:val="24"/>
          <w:szCs w:val="24"/>
        </w:rPr>
        <w:t>14.谈判响应文件的密封和标记．．．．．．．．．．．．．．．．．．．．．．．．．．．．．．．．．．．．．．．．．17</w:t>
      </w:r>
    </w:p>
    <w:p>
      <w:pPr>
        <w:pStyle w:val="10"/>
        <w:tabs>
          <w:tab w:val="left" w:pos="672"/>
        </w:tabs>
        <w:spacing w:line="480" w:lineRule="exact"/>
        <w:rPr>
          <w:color w:val="000000"/>
          <w:sz w:val="24"/>
          <w:szCs w:val="24"/>
        </w:rPr>
      </w:pPr>
      <w:r>
        <w:rPr>
          <w:rFonts w:hint="eastAsia"/>
          <w:color w:val="000000"/>
          <w:sz w:val="24"/>
          <w:szCs w:val="24"/>
        </w:rPr>
        <w:t>15.递交谈判响应文件的时间、地点以及截止时间．．．．．．．．．．．．．．．．．．．．．．．．．17</w:t>
      </w:r>
    </w:p>
    <w:p>
      <w:pPr>
        <w:pStyle w:val="10"/>
        <w:tabs>
          <w:tab w:val="left" w:pos="672"/>
        </w:tabs>
        <w:spacing w:line="480" w:lineRule="exact"/>
        <w:rPr>
          <w:color w:val="000000"/>
          <w:sz w:val="24"/>
          <w:szCs w:val="24"/>
        </w:rPr>
      </w:pPr>
      <w:r>
        <w:rPr>
          <w:rFonts w:hint="eastAsia"/>
          <w:color w:val="000000"/>
          <w:sz w:val="24"/>
          <w:szCs w:val="24"/>
        </w:rPr>
        <w:t>16.迟交的谈判响应文件</w:t>
      </w:r>
      <w:r>
        <w:rPr>
          <w:rFonts w:hint="eastAsia"/>
          <w:color w:val="000000"/>
          <w:sz w:val="24"/>
          <w:szCs w:val="24"/>
        </w:rPr>
        <w:tab/>
      </w:r>
      <w:r>
        <w:rPr>
          <w:rFonts w:hint="eastAsia"/>
          <w:color w:val="000000"/>
          <w:sz w:val="24"/>
          <w:szCs w:val="24"/>
        </w:rPr>
        <w:t>．．．．．．．．．．．．．．．．．．．．．．．．．．．．．．．．．．．．．．．．．．．．18</w:t>
      </w:r>
    </w:p>
    <w:p>
      <w:pPr>
        <w:pStyle w:val="10"/>
        <w:tabs>
          <w:tab w:val="left" w:pos="672"/>
        </w:tabs>
        <w:spacing w:line="480" w:lineRule="exact"/>
        <w:rPr>
          <w:color w:val="000000"/>
          <w:sz w:val="24"/>
          <w:szCs w:val="24"/>
        </w:rPr>
      </w:pPr>
      <w:r>
        <w:rPr>
          <w:rFonts w:hint="eastAsia"/>
          <w:color w:val="000000"/>
          <w:sz w:val="24"/>
          <w:szCs w:val="24"/>
        </w:rPr>
        <w:t>Ｅ  谈判</w:t>
      </w:r>
      <w:r>
        <w:rPr>
          <w:rFonts w:hint="eastAsia"/>
          <w:color w:val="000000"/>
          <w:sz w:val="24"/>
          <w:szCs w:val="24"/>
        </w:rPr>
        <w:tab/>
      </w:r>
      <w:r>
        <w:rPr>
          <w:rFonts w:hint="eastAsia"/>
          <w:color w:val="000000"/>
          <w:sz w:val="24"/>
          <w:szCs w:val="24"/>
        </w:rPr>
        <w:t>．．．．．．．．．．．．．．．．．．．．．．．．．．．．．．．．．．．．．．．．．．．．．．．．．．．．．．．．．．18</w:t>
      </w:r>
    </w:p>
    <w:p>
      <w:pPr>
        <w:pStyle w:val="10"/>
        <w:tabs>
          <w:tab w:val="left" w:pos="672"/>
        </w:tabs>
        <w:spacing w:line="480" w:lineRule="exact"/>
        <w:rPr>
          <w:color w:val="000000"/>
          <w:sz w:val="24"/>
          <w:szCs w:val="24"/>
        </w:rPr>
      </w:pPr>
      <w:r>
        <w:rPr>
          <w:rFonts w:hint="eastAsia"/>
          <w:color w:val="000000"/>
          <w:sz w:val="24"/>
          <w:szCs w:val="24"/>
        </w:rPr>
        <w:t>17.谈判小组</w:t>
      </w:r>
      <w:r>
        <w:rPr>
          <w:rFonts w:hint="eastAsia"/>
          <w:color w:val="000000"/>
          <w:sz w:val="24"/>
          <w:szCs w:val="24"/>
        </w:rPr>
        <w:tab/>
      </w:r>
      <w:r>
        <w:rPr>
          <w:rFonts w:hint="eastAsia"/>
          <w:color w:val="000000"/>
          <w:sz w:val="24"/>
          <w:szCs w:val="24"/>
        </w:rPr>
        <w:t>．．．．．．．．．．．．．．．．．．．．．．．．．．．．．．．．．．．．．．．．．．．．．．．．．．．．．．18</w:t>
      </w:r>
    </w:p>
    <w:p>
      <w:pPr>
        <w:pStyle w:val="10"/>
        <w:tabs>
          <w:tab w:val="left" w:pos="672"/>
        </w:tabs>
        <w:spacing w:line="480" w:lineRule="exact"/>
        <w:rPr>
          <w:color w:val="000000"/>
          <w:sz w:val="24"/>
          <w:szCs w:val="24"/>
        </w:rPr>
      </w:pPr>
      <w:r>
        <w:rPr>
          <w:rFonts w:hint="eastAsia"/>
          <w:color w:val="000000"/>
          <w:sz w:val="24"/>
          <w:szCs w:val="24"/>
        </w:rPr>
        <w:t>18.谈判小组基本原则</w:t>
      </w:r>
      <w:r>
        <w:rPr>
          <w:rFonts w:hint="eastAsia"/>
          <w:color w:val="000000"/>
          <w:sz w:val="24"/>
          <w:szCs w:val="24"/>
        </w:rPr>
        <w:tab/>
      </w:r>
      <w:r>
        <w:rPr>
          <w:rFonts w:hint="eastAsia"/>
          <w:color w:val="000000"/>
          <w:sz w:val="24"/>
          <w:szCs w:val="24"/>
        </w:rPr>
        <w:t>．．．．．．．．．．．．．．．．．．．．．．．．．．．．．．．．．．．．．．．．．．．．．．．18</w:t>
      </w:r>
    </w:p>
    <w:p>
      <w:pPr>
        <w:pStyle w:val="10"/>
        <w:tabs>
          <w:tab w:val="left" w:pos="672"/>
        </w:tabs>
        <w:spacing w:line="480" w:lineRule="exact"/>
        <w:rPr>
          <w:color w:val="000000"/>
          <w:sz w:val="24"/>
          <w:szCs w:val="24"/>
        </w:rPr>
      </w:pPr>
      <w:r>
        <w:rPr>
          <w:rFonts w:hint="eastAsia"/>
          <w:color w:val="000000"/>
          <w:sz w:val="24"/>
          <w:szCs w:val="24"/>
        </w:rPr>
        <w:t>19.保密及其它注意事项．．．．．．．．．．．．．．．．．．．．．．．．．．．．．．．．．．．．．．．．．．．．18</w:t>
      </w:r>
    </w:p>
    <w:p>
      <w:pPr>
        <w:pStyle w:val="10"/>
        <w:tabs>
          <w:tab w:val="left" w:pos="672"/>
        </w:tabs>
        <w:spacing w:line="480" w:lineRule="exact"/>
        <w:rPr>
          <w:color w:val="000000"/>
          <w:sz w:val="24"/>
          <w:szCs w:val="24"/>
        </w:rPr>
      </w:pPr>
      <w:r>
        <w:rPr>
          <w:rFonts w:hint="eastAsia"/>
          <w:color w:val="000000"/>
          <w:sz w:val="24"/>
          <w:szCs w:val="24"/>
        </w:rPr>
        <w:t>20.询标及谈判响应文件的澄清</w:t>
      </w:r>
      <w:r>
        <w:rPr>
          <w:rFonts w:hint="eastAsia"/>
          <w:color w:val="000000"/>
          <w:sz w:val="24"/>
          <w:szCs w:val="24"/>
        </w:rPr>
        <w:tab/>
      </w:r>
      <w:r>
        <w:rPr>
          <w:rFonts w:hint="eastAsia"/>
          <w:color w:val="000000"/>
          <w:sz w:val="24"/>
          <w:szCs w:val="24"/>
        </w:rPr>
        <w:t>．．．．．．．．．．．．．．．．．．．．．．．．．．．．．．．．．．．．．．．．19</w:t>
      </w:r>
    </w:p>
    <w:p>
      <w:pPr>
        <w:pStyle w:val="10"/>
        <w:tabs>
          <w:tab w:val="left" w:pos="672"/>
        </w:tabs>
        <w:spacing w:line="480" w:lineRule="exact"/>
        <w:rPr>
          <w:color w:val="000000"/>
          <w:sz w:val="24"/>
          <w:szCs w:val="24"/>
        </w:rPr>
      </w:pPr>
      <w:r>
        <w:rPr>
          <w:rFonts w:hint="eastAsia"/>
          <w:color w:val="000000"/>
          <w:sz w:val="24"/>
          <w:szCs w:val="24"/>
        </w:rPr>
        <w:t>21.谈判程序</w:t>
      </w:r>
      <w:r>
        <w:rPr>
          <w:rFonts w:hint="eastAsia"/>
          <w:color w:val="000000"/>
          <w:sz w:val="24"/>
          <w:szCs w:val="24"/>
        </w:rPr>
        <w:tab/>
      </w:r>
      <w:r>
        <w:rPr>
          <w:rFonts w:hint="eastAsia"/>
          <w:color w:val="000000"/>
          <w:sz w:val="24"/>
          <w:szCs w:val="24"/>
        </w:rPr>
        <w:t>．．．．．．．．．．．．．．．．．．．．．．．．．．．．．．．．．．．．．．．．．．．．．．．．．．．．．．19</w:t>
      </w:r>
    </w:p>
    <w:p>
      <w:pPr>
        <w:pStyle w:val="10"/>
        <w:tabs>
          <w:tab w:val="left" w:pos="672"/>
        </w:tabs>
        <w:spacing w:line="480" w:lineRule="exact"/>
        <w:rPr>
          <w:color w:val="000000"/>
          <w:sz w:val="24"/>
          <w:szCs w:val="24"/>
        </w:rPr>
      </w:pPr>
      <w:r>
        <w:rPr>
          <w:rFonts w:hint="eastAsia"/>
          <w:color w:val="000000"/>
          <w:sz w:val="24"/>
          <w:szCs w:val="24"/>
        </w:rPr>
        <w:t>22.谈判响应文件的初审</w:t>
      </w:r>
      <w:r>
        <w:rPr>
          <w:rFonts w:hint="eastAsia"/>
          <w:color w:val="000000"/>
          <w:sz w:val="24"/>
          <w:szCs w:val="24"/>
        </w:rPr>
        <w:tab/>
      </w:r>
      <w:r>
        <w:rPr>
          <w:rFonts w:hint="eastAsia"/>
          <w:color w:val="000000"/>
          <w:sz w:val="24"/>
          <w:szCs w:val="24"/>
        </w:rPr>
        <w:t>．．．．．．．．．．．．．．．．．．．．．．．．．．．．．．．．．．．．．．．．．．．．21</w:t>
      </w:r>
    </w:p>
    <w:p>
      <w:pPr>
        <w:pStyle w:val="10"/>
        <w:tabs>
          <w:tab w:val="left" w:pos="672"/>
        </w:tabs>
        <w:spacing w:line="480" w:lineRule="exact"/>
        <w:rPr>
          <w:color w:val="000000"/>
          <w:sz w:val="24"/>
          <w:szCs w:val="24"/>
        </w:rPr>
      </w:pPr>
      <w:r>
        <w:rPr>
          <w:rFonts w:hint="eastAsia"/>
          <w:color w:val="000000"/>
          <w:sz w:val="24"/>
          <w:szCs w:val="24"/>
        </w:rPr>
        <w:t>23.成交候选人的确定</w:t>
      </w:r>
      <w:r>
        <w:rPr>
          <w:rFonts w:hint="eastAsia"/>
          <w:color w:val="000000"/>
          <w:sz w:val="24"/>
          <w:szCs w:val="24"/>
        </w:rPr>
        <w:tab/>
      </w:r>
      <w:r>
        <w:rPr>
          <w:rFonts w:hint="eastAsia"/>
          <w:color w:val="000000"/>
          <w:sz w:val="24"/>
          <w:szCs w:val="24"/>
        </w:rPr>
        <w:t>．．．．．．．．．．．．．．．．．．．．．．．．．．．．．．．．．．．．．．．．．．．．．．．21</w:t>
      </w:r>
    </w:p>
    <w:p>
      <w:pPr>
        <w:pStyle w:val="10"/>
        <w:tabs>
          <w:tab w:val="left" w:pos="672"/>
        </w:tabs>
        <w:spacing w:line="480" w:lineRule="exact"/>
        <w:ind w:right="-134" w:rightChars="-64"/>
        <w:rPr>
          <w:color w:val="000000"/>
          <w:sz w:val="24"/>
          <w:szCs w:val="24"/>
        </w:rPr>
      </w:pPr>
      <w:r>
        <w:rPr>
          <w:rFonts w:hint="eastAsia"/>
          <w:color w:val="000000"/>
          <w:sz w:val="24"/>
          <w:szCs w:val="24"/>
        </w:rPr>
        <w:t>Ｆ  签定合同及其其他事项 ．．．．．．．．．．．．．．．．．．．．．．．．．．．．．．．．．．．．．．．．．．．21</w:t>
      </w:r>
    </w:p>
    <w:p>
      <w:pPr>
        <w:pStyle w:val="10"/>
        <w:tabs>
          <w:tab w:val="left" w:pos="672"/>
        </w:tabs>
        <w:spacing w:line="480" w:lineRule="exact"/>
        <w:rPr>
          <w:color w:val="000000"/>
          <w:sz w:val="24"/>
          <w:szCs w:val="24"/>
        </w:rPr>
      </w:pPr>
      <w:r>
        <w:rPr>
          <w:rFonts w:hint="eastAsia"/>
          <w:color w:val="000000"/>
          <w:sz w:val="24"/>
          <w:szCs w:val="24"/>
        </w:rPr>
        <w:t>24.成交通知书</w:t>
      </w:r>
      <w:r>
        <w:rPr>
          <w:rFonts w:hint="eastAsia"/>
          <w:color w:val="000000"/>
          <w:sz w:val="24"/>
          <w:szCs w:val="24"/>
        </w:rPr>
        <w:tab/>
      </w:r>
      <w:r>
        <w:rPr>
          <w:rFonts w:hint="eastAsia"/>
          <w:color w:val="000000"/>
          <w:sz w:val="24"/>
          <w:szCs w:val="24"/>
        </w:rPr>
        <w:t>．．．．．．．．．．．．．．．．．．．．．．．．．．．．．．．．．．．．．．．．．．．．．．．．．．．．．．21</w:t>
      </w:r>
    </w:p>
    <w:p>
      <w:pPr>
        <w:pStyle w:val="10"/>
        <w:tabs>
          <w:tab w:val="left" w:pos="672"/>
        </w:tabs>
        <w:spacing w:line="480" w:lineRule="exact"/>
        <w:rPr>
          <w:color w:val="000000"/>
          <w:sz w:val="24"/>
          <w:szCs w:val="24"/>
        </w:rPr>
      </w:pPr>
      <w:r>
        <w:rPr>
          <w:rFonts w:hint="eastAsia"/>
          <w:color w:val="000000"/>
          <w:sz w:val="24"/>
          <w:szCs w:val="24"/>
        </w:rPr>
        <w:t>25.签订合同．．．．．．．．．．．．．．．．．．．．．．．．．．．．．．．．．．．．．．．．．．．．．．．．．．．．．．．．．21</w:t>
      </w:r>
    </w:p>
    <w:p>
      <w:pPr>
        <w:pStyle w:val="10"/>
        <w:tabs>
          <w:tab w:val="left" w:pos="672"/>
        </w:tabs>
        <w:spacing w:line="480" w:lineRule="exact"/>
        <w:rPr>
          <w:color w:val="000000"/>
          <w:sz w:val="24"/>
          <w:szCs w:val="24"/>
        </w:rPr>
      </w:pPr>
      <w:r>
        <w:rPr>
          <w:rFonts w:hint="eastAsia"/>
          <w:color w:val="000000"/>
          <w:sz w:val="24"/>
          <w:szCs w:val="24"/>
        </w:rPr>
        <w:t>G   合同条款．．．．．．．．．．．．．．．．．．．．．．．．．．．．．．．．．．．．．．．．．．．．．．．．．．．．．．．．21</w:t>
      </w:r>
    </w:p>
    <w:p>
      <w:pPr>
        <w:pStyle w:val="10"/>
        <w:tabs>
          <w:tab w:val="left" w:pos="672"/>
        </w:tabs>
        <w:spacing w:line="480" w:lineRule="exact"/>
        <w:rPr>
          <w:color w:val="000000"/>
          <w:sz w:val="24"/>
          <w:szCs w:val="24"/>
        </w:rPr>
      </w:pPr>
      <w:r>
        <w:rPr>
          <w:rFonts w:hint="eastAsia"/>
          <w:color w:val="000000"/>
          <w:sz w:val="24"/>
          <w:szCs w:val="24"/>
        </w:rPr>
        <w:t>26.定义 ．．．．．．．．．．．．．．．．．．．．．．．．．．．．．．．．．．．．．．．．．．．．．．．．．．．．．．．．．．．．21</w:t>
      </w:r>
    </w:p>
    <w:p>
      <w:pPr>
        <w:pStyle w:val="10"/>
        <w:tabs>
          <w:tab w:val="left" w:pos="672"/>
        </w:tabs>
        <w:spacing w:line="480" w:lineRule="exact"/>
        <w:rPr>
          <w:color w:val="000000"/>
          <w:sz w:val="24"/>
          <w:szCs w:val="24"/>
        </w:rPr>
      </w:pPr>
      <w:r>
        <w:rPr>
          <w:rFonts w:hint="eastAsia"/>
          <w:color w:val="000000"/>
          <w:sz w:val="24"/>
          <w:szCs w:val="24"/>
        </w:rPr>
        <w:t>27.技术性能．．．．．．．．．．．．．．．．．．．．．．．．．．．．．．．．．．．．．．．．．．．．．．．．．．．．．．．．22</w:t>
      </w:r>
    </w:p>
    <w:p>
      <w:pPr>
        <w:pStyle w:val="10"/>
        <w:tabs>
          <w:tab w:val="left" w:pos="672"/>
        </w:tabs>
        <w:spacing w:line="480" w:lineRule="exact"/>
        <w:rPr>
          <w:color w:val="000000"/>
          <w:sz w:val="24"/>
          <w:szCs w:val="24"/>
        </w:rPr>
      </w:pPr>
      <w:r>
        <w:rPr>
          <w:rFonts w:hint="eastAsia"/>
          <w:color w:val="000000"/>
          <w:sz w:val="24"/>
          <w:szCs w:val="24"/>
        </w:rPr>
        <w:t>28.付款 ．．．．．．．．．．．．．．．．．．．．．．．．．．．．．．．．．．．．．．．．．．．．．．．．．．．．．．．．．．．．22</w:t>
      </w:r>
    </w:p>
    <w:p>
      <w:pPr>
        <w:pStyle w:val="10"/>
        <w:tabs>
          <w:tab w:val="left" w:pos="672"/>
        </w:tabs>
        <w:spacing w:line="480" w:lineRule="exact"/>
        <w:rPr>
          <w:color w:val="000000"/>
          <w:sz w:val="24"/>
          <w:szCs w:val="24"/>
        </w:rPr>
      </w:pPr>
      <w:r>
        <w:rPr>
          <w:rFonts w:hint="eastAsia"/>
          <w:color w:val="000000"/>
          <w:sz w:val="24"/>
          <w:szCs w:val="24"/>
        </w:rPr>
        <w:t>29.乙方工期延误．．．．．．．．．．．．．．．．．．．．．．．．．．．．．．．．．．．．．．．．．．．．．．．．．．．．．22</w:t>
      </w:r>
    </w:p>
    <w:p>
      <w:pPr>
        <w:pStyle w:val="10"/>
        <w:tabs>
          <w:tab w:val="left" w:pos="672"/>
        </w:tabs>
        <w:spacing w:line="480" w:lineRule="exact"/>
        <w:rPr>
          <w:color w:val="000000"/>
          <w:sz w:val="24"/>
          <w:szCs w:val="24"/>
        </w:rPr>
      </w:pPr>
      <w:r>
        <w:rPr>
          <w:rFonts w:hint="eastAsia"/>
          <w:color w:val="000000"/>
          <w:sz w:val="24"/>
          <w:szCs w:val="24"/>
        </w:rPr>
        <w:t>30.误期说明．．．．．．．．．．．．．．．．．．．．．．．．．．．．．．．．．．．．．．．．．．．．．．．．．．．．．．．．．22</w:t>
      </w:r>
    </w:p>
    <w:p>
      <w:pPr>
        <w:pStyle w:val="10"/>
        <w:tabs>
          <w:tab w:val="left" w:pos="672"/>
        </w:tabs>
        <w:spacing w:line="480" w:lineRule="exact"/>
        <w:rPr>
          <w:color w:val="000000"/>
          <w:sz w:val="24"/>
          <w:szCs w:val="24"/>
        </w:rPr>
      </w:pPr>
      <w:r>
        <w:rPr>
          <w:rFonts w:hint="eastAsia"/>
          <w:color w:val="000000"/>
          <w:sz w:val="24"/>
          <w:szCs w:val="24"/>
        </w:rPr>
        <w:t>31.税费 ．．．．．．．．．．．．．．．．．．．．．．．．．．．．．．．．．．．．．．．．．．．．．．．．．．．．．．．．．．．．23</w:t>
      </w:r>
    </w:p>
    <w:p>
      <w:pPr>
        <w:pStyle w:val="10"/>
        <w:tabs>
          <w:tab w:val="left" w:pos="672"/>
        </w:tabs>
        <w:spacing w:line="480" w:lineRule="exact"/>
        <w:rPr>
          <w:color w:val="000000"/>
          <w:sz w:val="24"/>
          <w:szCs w:val="24"/>
        </w:rPr>
      </w:pPr>
      <w:r>
        <w:rPr>
          <w:rFonts w:hint="eastAsia"/>
          <w:color w:val="000000"/>
          <w:sz w:val="24"/>
          <w:szCs w:val="24"/>
        </w:rPr>
        <w:t>32.合同生效及其他．．．．．．．．．．．．．．．．．．．．．．．．．．．．．．．．．．．．．．．．．．．．．．．．．．．23</w:t>
      </w:r>
    </w:p>
    <w:p>
      <w:pPr>
        <w:pStyle w:val="10"/>
        <w:tabs>
          <w:tab w:val="left" w:pos="672"/>
        </w:tabs>
        <w:spacing w:line="480" w:lineRule="exact"/>
        <w:rPr>
          <w:color w:val="000000"/>
          <w:sz w:val="24"/>
          <w:szCs w:val="24"/>
        </w:rPr>
      </w:pPr>
      <w:r>
        <w:rPr>
          <w:rFonts w:hint="eastAsia"/>
          <w:color w:val="000000"/>
          <w:sz w:val="24"/>
          <w:szCs w:val="24"/>
        </w:rPr>
        <w:t>H   交货 验收 付款</w:t>
      </w:r>
      <w:r>
        <w:rPr>
          <w:rFonts w:hint="eastAsia"/>
          <w:color w:val="000000"/>
          <w:sz w:val="24"/>
          <w:szCs w:val="24"/>
        </w:rPr>
        <w:tab/>
      </w:r>
      <w:r>
        <w:rPr>
          <w:rFonts w:hint="eastAsia"/>
          <w:color w:val="000000"/>
          <w:sz w:val="24"/>
          <w:szCs w:val="24"/>
        </w:rPr>
        <w:t>．．．．．．．．．．．．．．．．．．．．．．．．．．．．．．．．．．．．．．．．．．．．．．．23</w:t>
      </w:r>
    </w:p>
    <w:p>
      <w:pPr>
        <w:pStyle w:val="10"/>
        <w:tabs>
          <w:tab w:val="left" w:pos="672"/>
        </w:tabs>
        <w:spacing w:line="480" w:lineRule="exact"/>
        <w:rPr>
          <w:color w:val="000000"/>
          <w:sz w:val="24"/>
          <w:szCs w:val="24"/>
        </w:rPr>
      </w:pPr>
      <w:r>
        <w:rPr>
          <w:rFonts w:hint="eastAsia"/>
          <w:color w:val="000000"/>
          <w:sz w:val="24"/>
          <w:szCs w:val="24"/>
        </w:rPr>
        <w:t>33.验收及质量保证．．．．．．．．．．．．．．．．．．．．．．．．．．．．．．．．．．．．．．．．．．．．．．．．．．．23</w:t>
      </w:r>
    </w:p>
    <w:p>
      <w:pPr>
        <w:pStyle w:val="10"/>
        <w:tabs>
          <w:tab w:val="left" w:pos="672"/>
        </w:tabs>
        <w:spacing w:line="480" w:lineRule="exact"/>
        <w:rPr>
          <w:color w:val="000000"/>
          <w:sz w:val="24"/>
          <w:szCs w:val="24"/>
        </w:rPr>
      </w:pPr>
      <w:r>
        <w:rPr>
          <w:rFonts w:hint="eastAsia"/>
          <w:color w:val="000000"/>
          <w:sz w:val="24"/>
          <w:szCs w:val="24"/>
        </w:rPr>
        <w:t>34.解释</w:t>
      </w:r>
      <w:r>
        <w:rPr>
          <w:rFonts w:hint="eastAsia"/>
          <w:color w:val="000000"/>
          <w:sz w:val="24"/>
          <w:szCs w:val="24"/>
        </w:rPr>
        <w:tab/>
      </w:r>
      <w:r>
        <w:rPr>
          <w:rFonts w:hint="eastAsia"/>
          <w:color w:val="000000"/>
          <w:sz w:val="24"/>
          <w:szCs w:val="24"/>
        </w:rPr>
        <w:t>．．．．．．．．．．．．．．．．．．．．．．．．．．．．．．．．．．．．．．．．．．．．．．．．．．．．．．．．．．23</w:t>
      </w:r>
    </w:p>
    <w:p>
      <w:pPr>
        <w:pStyle w:val="10"/>
        <w:tabs>
          <w:tab w:val="left" w:pos="672"/>
        </w:tabs>
        <w:spacing w:line="480" w:lineRule="exact"/>
        <w:rPr>
          <w:color w:val="000000"/>
          <w:sz w:val="24"/>
          <w:szCs w:val="24"/>
        </w:rPr>
      </w:pPr>
      <w:r>
        <w:rPr>
          <w:rFonts w:hint="eastAsia"/>
          <w:color w:val="000000"/>
          <w:sz w:val="24"/>
          <w:szCs w:val="24"/>
        </w:rPr>
        <w:t>第二部分  项目概况及施工说明</w:t>
      </w:r>
      <w:r>
        <w:rPr>
          <w:rFonts w:hint="eastAsia"/>
          <w:color w:val="000000"/>
          <w:sz w:val="24"/>
          <w:szCs w:val="24"/>
        </w:rPr>
        <w:tab/>
      </w:r>
      <w:r>
        <w:rPr>
          <w:rFonts w:hint="eastAsia"/>
          <w:color w:val="000000"/>
          <w:sz w:val="24"/>
          <w:szCs w:val="24"/>
        </w:rPr>
        <w:t>．．．．．．．．．．．．．．．．．．．．．．．．．．．．．．．．．．．．．24</w:t>
      </w:r>
    </w:p>
    <w:p>
      <w:pPr>
        <w:pStyle w:val="10"/>
        <w:tabs>
          <w:tab w:val="left" w:pos="672"/>
        </w:tabs>
        <w:spacing w:line="480" w:lineRule="exact"/>
        <w:rPr>
          <w:color w:val="000000"/>
          <w:sz w:val="24"/>
          <w:szCs w:val="24"/>
        </w:rPr>
      </w:pPr>
      <w:r>
        <w:rPr>
          <w:rFonts w:hint="eastAsia"/>
          <w:color w:val="000000"/>
          <w:sz w:val="24"/>
          <w:szCs w:val="24"/>
        </w:rPr>
        <w:t xml:space="preserve">第三部份  谈判响应文件格式 </w:t>
      </w:r>
      <w:r>
        <w:rPr>
          <w:rFonts w:hint="eastAsia"/>
          <w:color w:val="000000"/>
          <w:sz w:val="24"/>
          <w:szCs w:val="24"/>
        </w:rPr>
        <w:tab/>
      </w:r>
      <w:r>
        <w:rPr>
          <w:rFonts w:hint="eastAsia"/>
          <w:color w:val="000000"/>
          <w:sz w:val="24"/>
          <w:szCs w:val="24"/>
        </w:rPr>
        <w:t>．．．．．．．．．．．．．．．．．．．．．．．．．．．．．．．．．．．．．．．．25</w:t>
      </w:r>
    </w:p>
    <w:p>
      <w:pPr>
        <w:pStyle w:val="10"/>
        <w:tabs>
          <w:tab w:val="left" w:pos="672"/>
        </w:tabs>
        <w:spacing w:line="480" w:lineRule="exact"/>
        <w:rPr>
          <w:color w:val="000000"/>
          <w:szCs w:val="21"/>
        </w:rPr>
      </w:pPr>
    </w:p>
    <w:p>
      <w:pPr>
        <w:pStyle w:val="10"/>
        <w:tabs>
          <w:tab w:val="left" w:pos="672"/>
        </w:tabs>
        <w:spacing w:line="480" w:lineRule="exact"/>
        <w:rPr>
          <w:color w:val="000000"/>
          <w:szCs w:val="21"/>
        </w:rPr>
      </w:pPr>
    </w:p>
    <w:p>
      <w:pPr>
        <w:pStyle w:val="10"/>
        <w:tabs>
          <w:tab w:val="left" w:pos="672"/>
        </w:tabs>
        <w:spacing w:line="480" w:lineRule="exact"/>
        <w:rPr>
          <w:color w:val="000000"/>
          <w:szCs w:val="21"/>
        </w:rPr>
      </w:pPr>
    </w:p>
    <w:p>
      <w:pPr>
        <w:pStyle w:val="10"/>
        <w:tabs>
          <w:tab w:val="left" w:pos="672"/>
        </w:tabs>
        <w:spacing w:line="360" w:lineRule="auto"/>
        <w:rPr>
          <w:b/>
          <w:color w:val="000000"/>
          <w:sz w:val="32"/>
        </w:rPr>
      </w:pPr>
    </w:p>
    <w:p>
      <w:pPr>
        <w:pStyle w:val="10"/>
        <w:tabs>
          <w:tab w:val="left" w:pos="672"/>
        </w:tabs>
        <w:spacing w:line="360" w:lineRule="auto"/>
        <w:jc w:val="center"/>
        <w:rPr>
          <w:b/>
          <w:color w:val="000000"/>
          <w:sz w:val="32"/>
        </w:rPr>
      </w:pPr>
    </w:p>
    <w:p>
      <w:pPr>
        <w:pStyle w:val="10"/>
        <w:tabs>
          <w:tab w:val="left" w:pos="672"/>
        </w:tabs>
        <w:spacing w:line="360" w:lineRule="auto"/>
        <w:jc w:val="center"/>
        <w:rPr>
          <w:rFonts w:ascii="楷体_GB2312" w:eastAsia="楷体_GB2312"/>
          <w:b/>
          <w:bCs/>
          <w:sz w:val="44"/>
        </w:rPr>
      </w:pPr>
      <w:r>
        <w:rPr>
          <w:rFonts w:hint="eastAsia"/>
          <w:b/>
          <w:color w:val="000000"/>
          <w:sz w:val="32"/>
        </w:rPr>
        <w:t>谈判邀请函</w:t>
      </w:r>
    </w:p>
    <w:p>
      <w:pPr>
        <w:ind w:right="-313" w:rightChars="-149" w:firstLine="640" w:firstLineChars="200"/>
        <w:rPr>
          <w:rFonts w:ascii="华文仿宋" w:hAnsi="华文仿宋" w:eastAsia="华文仿宋" w:cs="华文仿宋"/>
          <w:sz w:val="32"/>
          <w:szCs w:val="32"/>
        </w:rPr>
      </w:pPr>
      <w:r>
        <w:rPr>
          <w:rFonts w:hint="eastAsia" w:ascii="华文仿宋" w:hAnsi="华文仿宋" w:eastAsia="华文仿宋" w:cs="华文仿宋"/>
          <w:sz w:val="32"/>
          <w:szCs w:val="32"/>
        </w:rPr>
        <w:t>恩施大峡谷旅游开发有限公司就其《龙船调》剧场所需的灯光、音响、机械、多媒体、特效和所属实景演出剧场周边的设备采用竞争性谈判方式确定供应商定点采购，欢迎具备该项目资质并有意投标的供应商前来参加投标。现就2019年度《龙船调》实景演出剧所需设备定点采购竞争性谈判有关事项通知如下：</w:t>
      </w:r>
    </w:p>
    <w:p>
      <w:pPr>
        <w:numPr>
          <w:ilvl w:val="0"/>
          <w:numId w:val="1"/>
        </w:numPr>
        <w:ind w:right="-313" w:rightChars="-149" w:firstLine="641" w:firstLineChars="200"/>
        <w:rPr>
          <w:rFonts w:ascii="华文仿宋" w:hAnsi="华文仿宋" w:eastAsia="华文仿宋" w:cs="华文仿宋"/>
          <w:sz w:val="32"/>
          <w:szCs w:val="32"/>
        </w:rPr>
      </w:pPr>
      <w:r>
        <w:rPr>
          <w:rFonts w:hint="eastAsia" w:ascii="华文仿宋" w:hAnsi="华文仿宋" w:eastAsia="华文仿宋" w:cs="华文仿宋"/>
          <w:b/>
          <w:bCs/>
          <w:sz w:val="32"/>
          <w:szCs w:val="32"/>
        </w:rPr>
        <w:t>项目名称:</w:t>
      </w:r>
      <w:r>
        <w:rPr>
          <w:rFonts w:hint="eastAsia" w:ascii="华文仿宋" w:hAnsi="华文仿宋" w:eastAsia="华文仿宋" w:cs="华文仿宋"/>
          <w:sz w:val="32"/>
          <w:szCs w:val="32"/>
        </w:rPr>
        <w:t> </w:t>
      </w:r>
    </w:p>
    <w:p>
      <w:pPr>
        <w:ind w:right="-313" w:rightChars="-149" w:firstLine="640" w:firstLineChars="200"/>
        <w:rPr>
          <w:rFonts w:hint="eastAsia" w:ascii="华文仿宋" w:hAnsi="华文仿宋" w:eastAsia="华文仿宋" w:cs="华文仿宋"/>
          <w:sz w:val="32"/>
          <w:szCs w:val="32"/>
          <w:lang w:eastAsia="zh-CN"/>
        </w:rPr>
      </w:pPr>
      <w:r>
        <w:rPr>
          <w:rFonts w:hint="eastAsia" w:ascii="华文仿宋" w:hAnsi="华文仿宋" w:eastAsia="华文仿宋" w:cs="华文仿宋"/>
          <w:sz w:val="32"/>
          <w:szCs w:val="32"/>
        </w:rPr>
        <w:t>恩施大峡谷旅游开发有限公司《龙船调》实景演出剧场2019年度对灯光、音响、机械、多媒体、特效和所属周边设备的定点采购项目</w:t>
      </w:r>
      <w:r>
        <w:rPr>
          <w:rFonts w:hint="eastAsia" w:ascii="华文仿宋" w:hAnsi="华文仿宋" w:eastAsia="华文仿宋" w:cs="华文仿宋"/>
          <w:sz w:val="32"/>
          <w:szCs w:val="32"/>
          <w:lang w:eastAsia="zh-CN"/>
        </w:rPr>
        <w:t>。</w:t>
      </w:r>
    </w:p>
    <w:p>
      <w:pPr>
        <w:pStyle w:val="10"/>
        <w:ind w:firstLine="640" w:firstLineChars="200"/>
        <w:rPr>
          <w:rFonts w:ascii="华文仿宋" w:hAnsi="华文仿宋" w:eastAsia="华文仿宋" w:cs="华文仿宋"/>
          <w:sz w:val="32"/>
          <w:szCs w:val="32"/>
        </w:rPr>
      </w:pPr>
      <w:r>
        <w:rPr>
          <w:rFonts w:hint="eastAsia" w:ascii="华文仿宋" w:hAnsi="华文仿宋" w:eastAsia="华文仿宋" w:cs="华文仿宋"/>
          <w:sz w:val="32"/>
          <w:szCs w:val="32"/>
        </w:rPr>
        <w:t>二、</w:t>
      </w:r>
      <w:r>
        <w:rPr>
          <w:rFonts w:hint="eastAsia" w:ascii="华文仿宋" w:hAnsi="华文仿宋" w:eastAsia="华文仿宋" w:cs="华文仿宋"/>
          <w:b/>
          <w:bCs/>
          <w:sz w:val="32"/>
          <w:szCs w:val="32"/>
        </w:rPr>
        <w:t>项目编号：</w:t>
      </w:r>
      <w:r>
        <w:rPr>
          <w:rFonts w:hint="eastAsia" w:ascii="Times New Roman" w:hAnsi="Times New Roman"/>
          <w:color w:val="000000"/>
          <w:sz w:val="32"/>
        </w:rPr>
        <w:t>DG2019</w:t>
      </w:r>
      <w:r>
        <w:rPr>
          <w:rFonts w:ascii="Times New Roman" w:hAnsi="Times New Roman"/>
          <w:color w:val="000000"/>
          <w:sz w:val="32"/>
        </w:rPr>
        <w:t>-</w:t>
      </w:r>
      <w:r>
        <w:rPr>
          <w:rFonts w:hint="eastAsia" w:ascii="Times New Roman" w:hAnsi="Times New Roman"/>
          <w:color w:val="000000"/>
          <w:sz w:val="32"/>
        </w:rPr>
        <w:t>010</w:t>
      </w:r>
      <w:r>
        <w:rPr>
          <w:rFonts w:hint="eastAsia" w:ascii="华文仿宋" w:hAnsi="华文仿宋" w:eastAsia="华文仿宋" w:cs="华文仿宋"/>
          <w:sz w:val="32"/>
          <w:szCs w:val="32"/>
        </w:rPr>
        <w:t>号</w:t>
      </w:r>
    </w:p>
    <w:p>
      <w:pPr>
        <w:ind w:firstLine="640" w:firstLineChars="200"/>
        <w:rPr>
          <w:rFonts w:ascii="华文仿宋" w:hAnsi="华文仿宋" w:eastAsia="华文仿宋" w:cs="华文仿宋"/>
          <w:b/>
          <w:bCs/>
          <w:sz w:val="32"/>
          <w:szCs w:val="32"/>
        </w:rPr>
      </w:pPr>
      <w:r>
        <w:rPr>
          <w:rFonts w:hint="eastAsia" w:ascii="华文仿宋" w:hAnsi="华文仿宋" w:eastAsia="华文仿宋" w:cs="华文仿宋"/>
          <w:sz w:val="32"/>
          <w:szCs w:val="32"/>
        </w:rPr>
        <w:t>三、</w:t>
      </w:r>
      <w:r>
        <w:rPr>
          <w:rFonts w:hint="eastAsia" w:ascii="华文仿宋" w:hAnsi="华文仿宋" w:eastAsia="华文仿宋" w:cs="华文仿宋"/>
          <w:b/>
          <w:bCs/>
          <w:sz w:val="32"/>
          <w:szCs w:val="32"/>
        </w:rPr>
        <w:t>项目概况与招标范围：</w:t>
      </w:r>
    </w:p>
    <w:p>
      <w:pPr>
        <w:widowControl/>
        <w:adjustRightInd w:val="0"/>
        <w:snapToGrid w:val="0"/>
        <w:spacing w:line="360" w:lineRule="auto"/>
        <w:ind w:firstLine="640" w:firstLineChars="200"/>
        <w:jc w:val="left"/>
        <w:rPr>
          <w:rFonts w:ascii="华文仿宋" w:hAnsi="华文仿宋" w:eastAsia="华文仿宋" w:cs="华文仿宋"/>
          <w:sz w:val="32"/>
          <w:szCs w:val="32"/>
        </w:rPr>
      </w:pPr>
      <w:r>
        <w:rPr>
          <w:rFonts w:hint="eastAsia" w:ascii="华文仿宋" w:hAnsi="华文仿宋" w:eastAsia="华文仿宋" w:cs="华文仿宋"/>
          <w:sz w:val="32"/>
          <w:szCs w:val="32"/>
        </w:rPr>
        <w:t>1、本次招标的项目为：①灯光、②音箱、③机械、④多媒体、⑤特效五大类定点供应商。</w:t>
      </w:r>
    </w:p>
    <w:p>
      <w:pPr>
        <w:widowControl/>
        <w:adjustRightInd w:val="0"/>
        <w:snapToGrid w:val="0"/>
        <w:spacing w:line="360" w:lineRule="auto"/>
        <w:ind w:firstLine="640" w:firstLineChars="200"/>
        <w:jc w:val="left"/>
        <w:rPr>
          <w:rFonts w:ascii="华文仿宋" w:hAnsi="华文仿宋" w:eastAsia="华文仿宋" w:cs="华文仿宋"/>
          <w:b/>
          <w:bCs/>
          <w:sz w:val="32"/>
          <w:szCs w:val="32"/>
        </w:rPr>
      </w:pPr>
      <w:r>
        <w:rPr>
          <w:rFonts w:hint="eastAsia" w:ascii="华文仿宋" w:hAnsi="华文仿宋" w:eastAsia="华文仿宋" w:cs="华文仿宋"/>
          <w:sz w:val="32"/>
          <w:szCs w:val="32"/>
        </w:rPr>
        <w:t>2、招标范围：恩施大峡谷旅游开发有限公司《龙船调》实景剧场所需设备采购。</w:t>
      </w:r>
    </w:p>
    <w:p>
      <w:pPr>
        <w:widowControl/>
        <w:adjustRightInd w:val="0"/>
        <w:snapToGrid w:val="0"/>
        <w:spacing w:line="360" w:lineRule="auto"/>
        <w:ind w:firstLine="641" w:firstLineChars="200"/>
        <w:jc w:val="left"/>
        <w:rPr>
          <w:rFonts w:ascii="华文仿宋" w:hAnsi="华文仿宋" w:eastAsia="华文仿宋" w:cs="华文仿宋"/>
          <w:sz w:val="32"/>
          <w:szCs w:val="32"/>
        </w:rPr>
      </w:pPr>
      <w:r>
        <w:rPr>
          <w:rFonts w:hint="eastAsia" w:ascii="华文仿宋" w:hAnsi="华文仿宋" w:eastAsia="华文仿宋" w:cs="华文仿宋"/>
          <w:b/>
          <w:bCs/>
          <w:sz w:val="32"/>
          <w:szCs w:val="32"/>
        </w:rPr>
        <w:t>四、付款方式：</w:t>
      </w:r>
      <w:r>
        <w:rPr>
          <w:rFonts w:hint="eastAsia" w:ascii="华文仿宋" w:hAnsi="华文仿宋" w:eastAsia="华文仿宋" w:cs="华文仿宋"/>
          <w:sz w:val="32"/>
          <w:szCs w:val="32"/>
        </w:rPr>
        <w:t>按每月实际采购量付款(实行月结)。</w:t>
      </w:r>
    </w:p>
    <w:p>
      <w:pPr>
        <w:widowControl/>
        <w:adjustRightInd w:val="0"/>
        <w:snapToGrid w:val="0"/>
        <w:spacing w:line="360" w:lineRule="auto"/>
        <w:ind w:firstLine="641" w:firstLineChars="200"/>
        <w:jc w:val="left"/>
        <w:rPr>
          <w:rFonts w:ascii="华文仿宋" w:hAnsi="华文仿宋" w:eastAsia="华文仿宋" w:cs="华文仿宋"/>
          <w:sz w:val="32"/>
          <w:szCs w:val="32"/>
        </w:rPr>
      </w:pPr>
      <w:r>
        <w:rPr>
          <w:rFonts w:hint="eastAsia" w:ascii="华文仿宋" w:hAnsi="华文仿宋" w:eastAsia="华文仿宋" w:cs="华文仿宋"/>
          <w:b/>
          <w:bCs/>
          <w:sz w:val="32"/>
          <w:szCs w:val="32"/>
        </w:rPr>
        <w:t>五、采购方式</w:t>
      </w:r>
      <w:r>
        <w:rPr>
          <w:rFonts w:hint="eastAsia" w:ascii="华文仿宋" w:hAnsi="华文仿宋" w:eastAsia="华文仿宋" w:cs="华文仿宋"/>
          <w:sz w:val="32"/>
          <w:szCs w:val="32"/>
        </w:rPr>
        <w:t>：竞争性谈判</w:t>
      </w:r>
    </w:p>
    <w:p>
      <w:pPr>
        <w:widowControl/>
        <w:adjustRightInd w:val="0"/>
        <w:snapToGrid w:val="0"/>
        <w:spacing w:line="360" w:lineRule="auto"/>
        <w:ind w:firstLine="641" w:firstLineChars="200"/>
        <w:jc w:val="left"/>
        <w:rPr>
          <w:rFonts w:ascii="华文仿宋" w:hAnsi="华文仿宋" w:eastAsia="华文仿宋" w:cs="华文仿宋"/>
          <w:b/>
          <w:bCs/>
          <w:sz w:val="32"/>
          <w:szCs w:val="32"/>
        </w:rPr>
      </w:pPr>
      <w:r>
        <w:rPr>
          <w:rFonts w:hint="eastAsia" w:ascii="华文仿宋" w:hAnsi="华文仿宋" w:eastAsia="华文仿宋" w:cs="华文仿宋"/>
          <w:b/>
          <w:bCs/>
          <w:sz w:val="32"/>
          <w:szCs w:val="32"/>
        </w:rPr>
        <w:t>六、供应商条件:</w:t>
      </w:r>
    </w:p>
    <w:p>
      <w:pPr>
        <w:ind w:firstLine="640" w:firstLineChars="200"/>
        <w:rPr>
          <w:rFonts w:ascii="华文仿宋" w:hAnsi="华文仿宋" w:eastAsia="华文仿宋" w:cs="华文仿宋"/>
          <w:sz w:val="32"/>
          <w:szCs w:val="32"/>
        </w:rPr>
      </w:pPr>
      <w:r>
        <w:rPr>
          <w:rFonts w:hint="eastAsia" w:ascii="华文仿宋" w:hAnsi="华文仿宋" w:eastAsia="华文仿宋" w:cs="华文仿宋"/>
          <w:sz w:val="32"/>
          <w:szCs w:val="32"/>
        </w:rPr>
        <w:t>1、投标人必须是有资质的公司或个体工商户，符合《中华人民共和国政府采购法》第二十二条的要求：</w:t>
      </w:r>
    </w:p>
    <w:p>
      <w:pPr>
        <w:ind w:firstLine="640" w:firstLineChars="200"/>
        <w:rPr>
          <w:rFonts w:ascii="华文仿宋" w:hAnsi="华文仿宋" w:eastAsia="华文仿宋" w:cs="华文仿宋"/>
          <w:sz w:val="32"/>
          <w:szCs w:val="32"/>
        </w:rPr>
      </w:pPr>
      <w:r>
        <w:rPr>
          <w:rFonts w:hint="eastAsia" w:ascii="华文仿宋" w:hAnsi="华文仿宋" w:eastAsia="华文仿宋" w:cs="华文仿宋"/>
          <w:sz w:val="32"/>
          <w:szCs w:val="32"/>
        </w:rPr>
        <w:t>2、具有独立承担民事责任的能力；（提供有效的营业执照副本原件加盖公章）</w:t>
      </w:r>
    </w:p>
    <w:p>
      <w:pPr>
        <w:ind w:firstLine="640" w:firstLineChars="200"/>
        <w:rPr>
          <w:rFonts w:ascii="华文仿宋" w:hAnsi="华文仿宋" w:eastAsia="华文仿宋" w:cs="华文仿宋"/>
          <w:sz w:val="32"/>
          <w:szCs w:val="32"/>
        </w:rPr>
      </w:pPr>
      <w:r>
        <w:rPr>
          <w:rFonts w:hint="eastAsia" w:ascii="华文仿宋" w:hAnsi="华文仿宋" w:eastAsia="华文仿宋" w:cs="华文仿宋"/>
          <w:sz w:val="32"/>
          <w:szCs w:val="32"/>
        </w:rPr>
        <w:t>3、具有良好的商业信誉和健全的财务会计制度；</w:t>
      </w:r>
    </w:p>
    <w:p>
      <w:pPr>
        <w:ind w:firstLine="640" w:firstLineChars="200"/>
        <w:rPr>
          <w:rFonts w:ascii="华文仿宋" w:hAnsi="华文仿宋" w:eastAsia="华文仿宋" w:cs="华文仿宋"/>
          <w:sz w:val="32"/>
          <w:szCs w:val="32"/>
        </w:rPr>
      </w:pPr>
      <w:r>
        <w:rPr>
          <w:rFonts w:hint="eastAsia" w:ascii="华文仿宋" w:hAnsi="华文仿宋" w:eastAsia="华文仿宋" w:cs="华文仿宋"/>
          <w:sz w:val="32"/>
          <w:szCs w:val="32"/>
        </w:rPr>
        <w:t>4、具有履行合同所必需的设备和专业技术能力；（提供承诺函，格式自拟）</w:t>
      </w:r>
    </w:p>
    <w:p>
      <w:pPr>
        <w:ind w:firstLine="640" w:firstLineChars="200"/>
        <w:rPr>
          <w:rFonts w:ascii="华文仿宋" w:hAnsi="华文仿宋" w:eastAsia="华文仿宋" w:cs="华文仿宋"/>
          <w:sz w:val="32"/>
          <w:szCs w:val="32"/>
        </w:rPr>
      </w:pPr>
      <w:r>
        <w:rPr>
          <w:rFonts w:hint="eastAsia" w:ascii="华文仿宋" w:hAnsi="华文仿宋" w:eastAsia="华文仿宋" w:cs="华文仿宋"/>
          <w:sz w:val="32"/>
          <w:szCs w:val="32"/>
        </w:rPr>
        <w:t>5、有依法交纳税收和社会保障资金的能力及良好记录；（提供近三个月的完税证明及社保缴纳证明）</w:t>
      </w:r>
    </w:p>
    <w:p>
      <w:pPr>
        <w:widowControl/>
        <w:adjustRightInd w:val="0"/>
        <w:snapToGrid w:val="0"/>
        <w:spacing w:line="360" w:lineRule="auto"/>
        <w:ind w:firstLine="640" w:firstLineChars="200"/>
        <w:jc w:val="left"/>
        <w:rPr>
          <w:rFonts w:ascii="华文仿宋" w:hAnsi="华文仿宋" w:eastAsia="华文仿宋" w:cs="华文仿宋"/>
          <w:sz w:val="32"/>
          <w:szCs w:val="32"/>
        </w:rPr>
      </w:pPr>
      <w:r>
        <w:rPr>
          <w:rFonts w:hint="eastAsia" w:ascii="华文仿宋" w:hAnsi="华文仿宋" w:eastAsia="华文仿宋" w:cs="华文仿宋"/>
          <w:sz w:val="32"/>
          <w:szCs w:val="32"/>
        </w:rPr>
        <w:t>6、参加采购投标前三年内，在经营活动中没有重大违法记录及设备安全责任事故；</w:t>
      </w:r>
    </w:p>
    <w:p>
      <w:pPr>
        <w:widowControl/>
        <w:adjustRightInd w:val="0"/>
        <w:snapToGrid w:val="0"/>
        <w:spacing w:line="360" w:lineRule="auto"/>
        <w:ind w:firstLine="640" w:firstLineChars="200"/>
        <w:jc w:val="left"/>
        <w:rPr>
          <w:rFonts w:ascii="华文仿宋" w:hAnsi="华文仿宋" w:eastAsia="华文仿宋" w:cs="华文仿宋"/>
          <w:sz w:val="32"/>
          <w:szCs w:val="32"/>
        </w:rPr>
      </w:pPr>
      <w:r>
        <w:rPr>
          <w:rFonts w:hint="eastAsia" w:ascii="华文仿宋" w:hAnsi="华文仿宋" w:eastAsia="华文仿宋" w:cs="华文仿宋"/>
          <w:sz w:val="32"/>
          <w:szCs w:val="32"/>
        </w:rPr>
        <w:t>7、法律、行政法规规定的其他条件；</w:t>
      </w:r>
    </w:p>
    <w:p>
      <w:pPr>
        <w:widowControl/>
        <w:adjustRightInd w:val="0"/>
        <w:snapToGrid w:val="0"/>
        <w:spacing w:line="360" w:lineRule="auto"/>
        <w:ind w:firstLine="640" w:firstLineChars="200"/>
        <w:jc w:val="left"/>
        <w:rPr>
          <w:rFonts w:ascii="仿宋" w:hAnsi="仿宋" w:eastAsia="仿宋" w:cs="仿宋"/>
          <w:color w:val="000000"/>
          <w:sz w:val="32"/>
          <w:szCs w:val="32"/>
        </w:rPr>
      </w:pPr>
      <w:r>
        <w:rPr>
          <w:rFonts w:hint="eastAsia" w:ascii="仿宋" w:hAnsi="仿宋" w:eastAsia="仿宋" w:cs="仿宋"/>
          <w:color w:val="000000"/>
          <w:sz w:val="32"/>
          <w:szCs w:val="32"/>
        </w:rPr>
        <w:t>8、供应商在人员、设备、资金等方面具备相应的施工能力且有类似工程业绩;</w:t>
      </w:r>
    </w:p>
    <w:p>
      <w:pPr>
        <w:widowControl/>
        <w:adjustRightInd w:val="0"/>
        <w:snapToGrid w:val="0"/>
        <w:spacing w:line="360" w:lineRule="auto"/>
        <w:ind w:firstLine="640" w:firstLineChars="200"/>
        <w:jc w:val="left"/>
        <w:rPr>
          <w:rFonts w:ascii="仿宋" w:hAnsi="仿宋" w:eastAsia="仿宋" w:cs="仿宋"/>
          <w:color w:val="000000"/>
          <w:sz w:val="32"/>
          <w:szCs w:val="32"/>
        </w:rPr>
      </w:pPr>
      <w:r>
        <w:rPr>
          <w:rFonts w:hint="eastAsia" w:ascii="仿宋" w:hAnsi="仿宋" w:eastAsia="仿宋" w:cs="仿宋"/>
          <w:color w:val="000000"/>
          <w:sz w:val="32"/>
          <w:szCs w:val="32"/>
        </w:rPr>
        <w:t>9、本项目不接受联合体参与谈判。</w:t>
      </w:r>
    </w:p>
    <w:p>
      <w:pPr>
        <w:widowControl/>
        <w:adjustRightInd w:val="0"/>
        <w:snapToGrid w:val="0"/>
        <w:spacing w:line="360" w:lineRule="auto"/>
        <w:ind w:firstLine="640" w:firstLineChars="200"/>
        <w:jc w:val="left"/>
        <w:rPr>
          <w:rFonts w:ascii="华文仿宋" w:hAnsi="华文仿宋" w:eastAsia="华文仿宋" w:cs="华文仿宋"/>
          <w:sz w:val="32"/>
          <w:szCs w:val="32"/>
        </w:rPr>
      </w:pPr>
      <w:r>
        <w:rPr>
          <w:rFonts w:hint="eastAsia" w:ascii="仿宋" w:hAnsi="仿宋" w:eastAsia="仿宋" w:cs="仿宋"/>
          <w:color w:val="000000"/>
          <w:sz w:val="32"/>
          <w:szCs w:val="32"/>
        </w:rPr>
        <w:t>10、达到或超过原有设备配件及成品质量品质</w:t>
      </w:r>
    </w:p>
    <w:p>
      <w:pPr>
        <w:ind w:firstLine="641" w:firstLineChars="200"/>
        <w:rPr>
          <w:rFonts w:ascii="华文仿宋" w:hAnsi="华文仿宋" w:eastAsia="华文仿宋" w:cs="华文仿宋"/>
          <w:b/>
          <w:bCs/>
          <w:sz w:val="32"/>
          <w:szCs w:val="32"/>
        </w:rPr>
      </w:pPr>
      <w:r>
        <w:rPr>
          <w:rFonts w:hint="eastAsia" w:ascii="华文仿宋" w:hAnsi="华文仿宋" w:eastAsia="华文仿宋" w:cs="华文仿宋"/>
          <w:b/>
          <w:bCs/>
          <w:sz w:val="32"/>
          <w:szCs w:val="32"/>
        </w:rPr>
        <w:t>七、领取谈判文件时间及地点：</w:t>
      </w:r>
    </w:p>
    <w:p>
      <w:pPr>
        <w:ind w:firstLine="640" w:firstLineChars="200"/>
        <w:rPr>
          <w:rFonts w:ascii="华文仿宋" w:hAnsi="华文仿宋" w:eastAsia="华文仿宋" w:cs="华文仿宋"/>
          <w:sz w:val="32"/>
          <w:szCs w:val="32"/>
        </w:rPr>
      </w:pPr>
      <w:r>
        <w:rPr>
          <w:rFonts w:hint="eastAsia" w:ascii="华文仿宋" w:hAnsi="华文仿宋" w:eastAsia="华文仿宋" w:cs="华文仿宋"/>
          <w:sz w:val="32"/>
          <w:szCs w:val="32"/>
        </w:rPr>
        <w:t>1、现场报名的投标人请于 2019年7月8日上午8:30至 2019年7月11日下午17:30（工作时间：上午8:30—12:00、下午14：30—17:30）到恩施大峡谷（地址：恩施大峡谷旅游开发有限公司办公大楼采购部）报名领取谈判文件，报名领取谈判文件须提供以下资料：</w:t>
      </w:r>
    </w:p>
    <w:p>
      <w:pPr>
        <w:widowControl/>
        <w:adjustRightInd w:val="0"/>
        <w:snapToGrid w:val="0"/>
        <w:spacing w:line="360" w:lineRule="auto"/>
        <w:ind w:firstLine="640" w:firstLineChars="200"/>
        <w:jc w:val="left"/>
        <w:rPr>
          <w:rFonts w:ascii="华文仿宋" w:hAnsi="华文仿宋" w:eastAsia="华文仿宋" w:cs="华文仿宋"/>
          <w:sz w:val="32"/>
          <w:szCs w:val="32"/>
        </w:rPr>
      </w:pPr>
      <w:r>
        <w:rPr>
          <w:rFonts w:hint="eastAsia" w:ascii="华文仿宋" w:hAnsi="华文仿宋" w:eastAsia="华文仿宋" w:cs="华文仿宋"/>
          <w:sz w:val="32"/>
          <w:szCs w:val="32"/>
        </w:rPr>
        <w:t>2、提供有效的企业法人营业执照副本复印件（加盖单位公章），纳税人资质证明文件、资质证书副本、单位负责人证明材料或被授权委托书、单位负责人身份证或被授权委托人身份证、资格预审申请书（以上证件均需携带原件以供验证，并附复印件一份，复印件上加盖单位公章）。</w:t>
      </w:r>
    </w:p>
    <w:p>
      <w:pPr>
        <w:ind w:firstLine="640" w:firstLineChars="200"/>
        <w:rPr>
          <w:rFonts w:ascii="华文仿宋" w:hAnsi="华文仿宋" w:eastAsia="华文仿宋" w:cs="华文仿宋"/>
          <w:sz w:val="32"/>
          <w:szCs w:val="32"/>
        </w:rPr>
      </w:pPr>
      <w:r>
        <w:rPr>
          <w:rFonts w:hint="eastAsia" w:ascii="华文仿宋" w:hAnsi="华文仿宋" w:eastAsia="华文仿宋" w:cs="华文仿宋"/>
          <w:sz w:val="32"/>
          <w:szCs w:val="32"/>
        </w:rPr>
        <w:t>3、法定代表人授权书（须注明所投项目名称、报名人的联系电话、邮箱、微信或QQ号）。</w:t>
      </w:r>
    </w:p>
    <w:p>
      <w:pPr>
        <w:ind w:firstLine="640" w:firstLineChars="200"/>
        <w:rPr>
          <w:rFonts w:ascii="华文仿宋" w:hAnsi="华文仿宋" w:eastAsia="华文仿宋" w:cs="华文仿宋"/>
          <w:sz w:val="32"/>
          <w:szCs w:val="32"/>
        </w:rPr>
      </w:pPr>
      <w:r>
        <w:rPr>
          <w:rFonts w:hint="eastAsia" w:ascii="华文仿宋" w:hAnsi="华文仿宋" w:eastAsia="华文仿宋" w:cs="华文仿宋"/>
          <w:sz w:val="32"/>
          <w:szCs w:val="32"/>
        </w:rPr>
        <w:t>4、供应商自领取谈判文件之日起，应保证其提供的联系方式（电子邮箱、微信或QQ号）一直有效并时时关注，以保证往来函件（招标文件的澄清、修改等）能及时通知供应商，并能及时反馈信息，否则采购人不承担由此引起的一切后果。</w:t>
      </w:r>
    </w:p>
    <w:p>
      <w:pPr>
        <w:ind w:firstLine="641" w:firstLineChars="200"/>
        <w:rPr>
          <w:rFonts w:ascii="华文仿宋" w:hAnsi="华文仿宋" w:eastAsia="华文仿宋" w:cs="华文仿宋"/>
          <w:b/>
          <w:bCs/>
          <w:sz w:val="32"/>
          <w:szCs w:val="32"/>
        </w:rPr>
      </w:pPr>
      <w:r>
        <w:rPr>
          <w:rFonts w:hint="eastAsia" w:ascii="华文仿宋" w:hAnsi="华文仿宋" w:eastAsia="华文仿宋" w:cs="华文仿宋"/>
          <w:b/>
          <w:bCs/>
          <w:sz w:val="32"/>
          <w:szCs w:val="32"/>
        </w:rPr>
        <w:t>八、谈判响应文件的递交：</w:t>
      </w:r>
    </w:p>
    <w:p>
      <w:pPr>
        <w:ind w:firstLine="640" w:firstLineChars="200"/>
        <w:rPr>
          <w:rFonts w:ascii="华文仿宋" w:hAnsi="华文仿宋" w:eastAsia="华文仿宋" w:cs="华文仿宋"/>
          <w:sz w:val="32"/>
          <w:szCs w:val="32"/>
        </w:rPr>
      </w:pPr>
      <w:r>
        <w:rPr>
          <w:rFonts w:hint="eastAsia" w:ascii="华文仿宋" w:hAnsi="华文仿宋" w:eastAsia="华文仿宋" w:cs="华文仿宋"/>
          <w:sz w:val="32"/>
          <w:szCs w:val="32"/>
        </w:rPr>
        <w:t>（一）时间： 2019年7月19日上午8:30整，逾时恕不受理。</w:t>
      </w:r>
    </w:p>
    <w:p>
      <w:pPr>
        <w:ind w:firstLine="640" w:firstLineChars="200"/>
        <w:rPr>
          <w:rFonts w:ascii="华文仿宋" w:hAnsi="华文仿宋" w:eastAsia="华文仿宋" w:cs="华文仿宋"/>
          <w:sz w:val="32"/>
          <w:szCs w:val="32"/>
        </w:rPr>
      </w:pPr>
      <w:r>
        <w:rPr>
          <w:rFonts w:hint="eastAsia" w:ascii="华文仿宋" w:hAnsi="华文仿宋" w:eastAsia="华文仿宋" w:cs="华文仿宋"/>
          <w:sz w:val="32"/>
          <w:szCs w:val="32"/>
        </w:rPr>
        <w:t>（二）地点：恩施大峡谷旅游开发有限公司办公大楼四楼会议室。</w:t>
      </w:r>
    </w:p>
    <w:p>
      <w:pPr>
        <w:ind w:firstLine="640" w:firstLineChars="200"/>
        <w:rPr>
          <w:rFonts w:ascii="华文仿宋" w:hAnsi="华文仿宋" w:eastAsia="华文仿宋" w:cs="华文仿宋"/>
          <w:sz w:val="32"/>
          <w:szCs w:val="32"/>
        </w:rPr>
      </w:pPr>
      <w:r>
        <w:rPr>
          <w:rFonts w:hint="eastAsia" w:ascii="华文仿宋" w:hAnsi="华文仿宋" w:eastAsia="华文仿宋" w:cs="华文仿宋"/>
          <w:sz w:val="32"/>
          <w:szCs w:val="32"/>
        </w:rPr>
        <w:t>（三）本次谈判实行资格后审，响应供应商须现场提交以下文件：</w:t>
      </w:r>
    </w:p>
    <w:p>
      <w:pPr>
        <w:ind w:firstLine="640" w:firstLineChars="200"/>
        <w:rPr>
          <w:rFonts w:ascii="华文仿宋" w:hAnsi="华文仿宋" w:eastAsia="华文仿宋" w:cs="华文仿宋"/>
          <w:sz w:val="32"/>
          <w:szCs w:val="32"/>
        </w:rPr>
      </w:pPr>
      <w:r>
        <w:rPr>
          <w:rFonts w:hint="eastAsia" w:ascii="华文仿宋" w:hAnsi="华文仿宋" w:eastAsia="华文仿宋" w:cs="华文仿宋"/>
          <w:sz w:val="32"/>
          <w:szCs w:val="32"/>
        </w:rPr>
        <w:t>1、投标代表人身份证原件（不是法定代表人本人参加的，还需提供法人授权委托书原件及法人身份证明。</w:t>
      </w:r>
    </w:p>
    <w:p>
      <w:pPr>
        <w:widowControl/>
        <w:adjustRightInd w:val="0"/>
        <w:snapToGrid w:val="0"/>
        <w:spacing w:line="360" w:lineRule="auto"/>
        <w:ind w:firstLine="640" w:firstLineChars="200"/>
        <w:jc w:val="left"/>
        <w:rPr>
          <w:rFonts w:ascii="华文仿宋" w:hAnsi="华文仿宋" w:eastAsia="华文仿宋" w:cs="华文仿宋"/>
          <w:sz w:val="32"/>
          <w:szCs w:val="32"/>
        </w:rPr>
      </w:pPr>
      <w:r>
        <w:rPr>
          <w:rFonts w:hint="eastAsia" w:ascii="华文仿宋" w:hAnsi="华文仿宋" w:eastAsia="华文仿宋" w:cs="华文仿宋"/>
          <w:sz w:val="32"/>
          <w:szCs w:val="32"/>
        </w:rPr>
        <w:t>2、凡有意竞标的投标人，须在公告规定的开标时间前准备好竞争性谈判必备文件一式伍份，其中正本壹份，副本肆份。逾期未准备的，视为自动放弃资格。竞争性谈判文件包括：1、单位简介；2、经营资质材料、各类经营许可证明；3、供货实力、服务质量、信誉度佐证材料、典型案例介绍；4、拟供货种类及报价清单；5、价格、质量、服务承诺书；6、投标人认为有必要提供的其他材料；7、银行开户复印件、单位负责人身份证复印件；谈判公告第五款规定的相应资质证件及证明文件（单独密封，并在封面上注明“资格、资质证明文件”、投标人名称及电话）</w:t>
      </w:r>
    </w:p>
    <w:p>
      <w:pPr>
        <w:ind w:firstLine="640" w:firstLineChars="200"/>
        <w:rPr>
          <w:rFonts w:ascii="华文仿宋" w:hAnsi="华文仿宋" w:eastAsia="华文仿宋" w:cs="华文仿宋"/>
          <w:sz w:val="32"/>
          <w:szCs w:val="32"/>
        </w:rPr>
      </w:pPr>
      <w:r>
        <w:rPr>
          <w:rFonts w:hint="eastAsia" w:ascii="华文仿宋" w:hAnsi="华文仿宋" w:eastAsia="华文仿宋" w:cs="华文仿宋"/>
          <w:sz w:val="32"/>
          <w:szCs w:val="32"/>
        </w:rPr>
        <w:t>3、谈判文件（密封）。          </w:t>
      </w:r>
    </w:p>
    <w:p>
      <w:pPr>
        <w:ind w:firstLine="640" w:firstLineChars="200"/>
        <w:rPr>
          <w:rFonts w:ascii="华文仿宋" w:hAnsi="华文仿宋" w:eastAsia="华文仿宋" w:cs="华文仿宋"/>
          <w:sz w:val="32"/>
          <w:szCs w:val="32"/>
        </w:rPr>
      </w:pPr>
      <w:r>
        <w:rPr>
          <w:rFonts w:hint="eastAsia" w:ascii="华文仿宋" w:hAnsi="华文仿宋" w:eastAsia="华文仿宋" w:cs="华文仿宋"/>
          <w:sz w:val="32"/>
          <w:szCs w:val="32"/>
        </w:rPr>
        <w:t>以上文件递交截止时间为2019年7月19日上午8:30整，逾时恕不受理。响应供应商一旦递交投标文件参与本项目招标，则视为同意并接受本招标文件中的所有条款。</w:t>
      </w:r>
    </w:p>
    <w:p>
      <w:pPr>
        <w:ind w:firstLine="641" w:firstLineChars="200"/>
        <w:rPr>
          <w:rFonts w:ascii="华文仿宋" w:hAnsi="华文仿宋" w:eastAsia="华文仿宋" w:cs="华文仿宋"/>
          <w:b/>
          <w:bCs/>
          <w:sz w:val="32"/>
          <w:szCs w:val="32"/>
        </w:rPr>
      </w:pPr>
      <w:r>
        <w:rPr>
          <w:rFonts w:hint="eastAsia" w:ascii="华文仿宋" w:hAnsi="华文仿宋" w:eastAsia="华文仿宋" w:cs="华文仿宋"/>
          <w:b/>
          <w:bCs/>
          <w:sz w:val="32"/>
          <w:szCs w:val="32"/>
        </w:rPr>
        <w:t>九、投标保证金：</w:t>
      </w:r>
    </w:p>
    <w:p>
      <w:pPr>
        <w:ind w:firstLine="640" w:firstLineChars="200"/>
        <w:rPr>
          <w:rFonts w:ascii="华文仿宋" w:hAnsi="华文仿宋" w:eastAsia="华文仿宋" w:cs="华文仿宋"/>
          <w:sz w:val="32"/>
          <w:szCs w:val="32"/>
        </w:rPr>
      </w:pPr>
      <w:r>
        <w:rPr>
          <w:rFonts w:hint="eastAsia" w:ascii="华文仿宋" w:hAnsi="华文仿宋" w:eastAsia="华文仿宋" w:cs="华文仿宋"/>
          <w:sz w:val="32"/>
          <w:szCs w:val="32"/>
        </w:rPr>
        <w:t>本项目投标保证金为人民币壹万元整（</w:t>
      </w:r>
      <w:r>
        <w:rPr>
          <w:rFonts w:ascii="华文仿宋" w:hAnsi="华文仿宋" w:eastAsia="华文仿宋" w:cs="华文仿宋"/>
          <w:sz w:val="32"/>
          <w:szCs w:val="32"/>
        </w:rPr>
        <w:t>¥</w:t>
      </w:r>
      <w:r>
        <w:rPr>
          <w:rFonts w:hint="eastAsia" w:ascii="华文仿宋" w:hAnsi="华文仿宋" w:eastAsia="华文仿宋" w:cs="华文仿宋"/>
          <w:sz w:val="32"/>
          <w:szCs w:val="32"/>
        </w:rPr>
        <w:t>10,000.00）。投标人应于2019年7月11日下午17:30前（凭投标保证金领取谈判文件）采用银行转账方式从投标人基本银行帐户将投标保证金转入恩施大峡谷旅游开发有限公司指定账户（用网银转账的需注明投标单位开户银行行号），请各投标人注意转账时间和银行间转账资金在途时间，以避免在本招标文件规定的时间前保证金无法到达指定子账户的情况。</w:t>
      </w:r>
    </w:p>
    <w:p>
      <w:pPr>
        <w:ind w:firstLine="640" w:firstLineChars="200"/>
        <w:rPr>
          <w:rFonts w:ascii="华文仿宋" w:hAnsi="华文仿宋" w:eastAsia="华文仿宋" w:cs="华文仿宋"/>
          <w:sz w:val="32"/>
          <w:szCs w:val="32"/>
        </w:rPr>
      </w:pPr>
      <w:r>
        <w:rPr>
          <w:rFonts w:hint="eastAsia" w:ascii="华文仿宋" w:hAnsi="华文仿宋" w:eastAsia="华文仿宋" w:cs="华文仿宋"/>
          <w:sz w:val="32"/>
          <w:szCs w:val="32"/>
        </w:rPr>
        <w:t>户  名：恩施大峡谷旅游开发有限公司</w:t>
      </w:r>
    </w:p>
    <w:p>
      <w:pPr>
        <w:ind w:firstLine="640" w:firstLineChars="200"/>
        <w:rPr>
          <w:rFonts w:ascii="华文仿宋" w:hAnsi="华文仿宋" w:eastAsia="华文仿宋" w:cs="华文仿宋"/>
          <w:sz w:val="32"/>
          <w:szCs w:val="32"/>
        </w:rPr>
      </w:pPr>
      <w:r>
        <w:rPr>
          <w:rFonts w:hint="eastAsia" w:ascii="华文仿宋" w:hAnsi="华文仿宋" w:eastAsia="华文仿宋" w:cs="华文仿宋"/>
          <w:sz w:val="32"/>
          <w:szCs w:val="32"/>
        </w:rPr>
        <w:t>开户行：中国农业银行恩施翔云支行  </w:t>
      </w:r>
    </w:p>
    <w:p>
      <w:pPr>
        <w:ind w:firstLine="640" w:firstLineChars="200"/>
        <w:rPr>
          <w:rFonts w:ascii="华文仿宋" w:hAnsi="华文仿宋" w:eastAsia="华文仿宋" w:cs="华文仿宋"/>
          <w:sz w:val="32"/>
          <w:szCs w:val="32"/>
        </w:rPr>
      </w:pPr>
      <w:r>
        <w:rPr>
          <w:rFonts w:hint="eastAsia" w:ascii="华文仿宋" w:hAnsi="华文仿宋" w:eastAsia="华文仿宋" w:cs="华文仿宋"/>
          <w:sz w:val="32"/>
          <w:szCs w:val="32"/>
        </w:rPr>
        <w:t>账  户：1773 0201 0400 09368</w:t>
      </w:r>
    </w:p>
    <w:p>
      <w:pPr>
        <w:ind w:firstLine="640" w:firstLineChars="200"/>
        <w:rPr>
          <w:rFonts w:ascii="华文仿宋" w:hAnsi="华文仿宋" w:eastAsia="华文仿宋" w:cs="华文仿宋"/>
          <w:sz w:val="32"/>
          <w:szCs w:val="32"/>
        </w:rPr>
      </w:pPr>
      <w:r>
        <w:rPr>
          <w:rFonts w:hint="eastAsia" w:ascii="华文仿宋" w:hAnsi="华文仿宋" w:eastAsia="华文仿宋" w:cs="华文仿宋"/>
          <w:sz w:val="32"/>
          <w:szCs w:val="32"/>
        </w:rPr>
        <w:t>2、凡未按本公告文件规定递交投标保证金到指定账户的投标，将被视为无效投标。</w:t>
      </w:r>
    </w:p>
    <w:p>
      <w:pPr>
        <w:ind w:firstLine="640" w:firstLineChars="200"/>
        <w:rPr>
          <w:rFonts w:ascii="华文仿宋" w:hAnsi="华文仿宋" w:eastAsia="华文仿宋" w:cs="华文仿宋"/>
          <w:sz w:val="32"/>
          <w:szCs w:val="32"/>
        </w:rPr>
      </w:pPr>
      <w:r>
        <w:rPr>
          <w:rFonts w:hint="eastAsia" w:ascii="华文仿宋" w:hAnsi="华文仿宋" w:eastAsia="华文仿宋" w:cs="华文仿宋"/>
          <w:sz w:val="32"/>
          <w:szCs w:val="32"/>
        </w:rPr>
        <w:t>3、各投标人须认真填写《交纳投标保证金的银行凭证》（格式见附件12），并作为投标文件的组成部分。</w:t>
      </w:r>
    </w:p>
    <w:p>
      <w:pPr>
        <w:ind w:firstLine="640" w:firstLineChars="200"/>
        <w:rPr>
          <w:rFonts w:ascii="华文仿宋" w:hAnsi="华文仿宋" w:eastAsia="华文仿宋" w:cs="华文仿宋"/>
          <w:sz w:val="32"/>
          <w:szCs w:val="32"/>
        </w:rPr>
      </w:pPr>
      <w:r>
        <w:rPr>
          <w:rFonts w:hint="eastAsia" w:ascii="华文仿宋" w:hAnsi="华文仿宋" w:eastAsia="华文仿宋" w:cs="华文仿宋"/>
          <w:sz w:val="32"/>
          <w:szCs w:val="32"/>
        </w:rPr>
        <w:t>4、落标者七个工作日内退还投标保证金，中标人与采购单位签订合同后退还所交保证金，弃标者不退还。</w:t>
      </w:r>
    </w:p>
    <w:p>
      <w:pPr>
        <w:ind w:firstLine="640" w:firstLineChars="200"/>
        <w:rPr>
          <w:rFonts w:ascii="华文仿宋" w:hAnsi="华文仿宋" w:eastAsia="华文仿宋" w:cs="华文仿宋"/>
          <w:sz w:val="32"/>
          <w:szCs w:val="32"/>
        </w:rPr>
      </w:pPr>
      <w:r>
        <w:rPr>
          <w:rFonts w:hint="eastAsia" w:ascii="华文仿宋" w:hAnsi="华文仿宋" w:eastAsia="华文仿宋" w:cs="华文仿宋"/>
          <w:sz w:val="32"/>
          <w:szCs w:val="32"/>
        </w:rPr>
        <w:t>5、投标保证金均不计利息。</w:t>
      </w:r>
    </w:p>
    <w:p>
      <w:pPr>
        <w:ind w:firstLine="641" w:firstLineChars="200"/>
        <w:rPr>
          <w:rFonts w:ascii="华文仿宋" w:hAnsi="华文仿宋" w:eastAsia="华文仿宋" w:cs="华文仿宋"/>
          <w:sz w:val="32"/>
          <w:szCs w:val="32"/>
        </w:rPr>
      </w:pPr>
      <w:r>
        <w:rPr>
          <w:rFonts w:hint="eastAsia" w:ascii="华文仿宋" w:hAnsi="华文仿宋" w:eastAsia="华文仿宋" w:cs="华文仿宋"/>
          <w:b/>
          <w:bCs/>
          <w:sz w:val="32"/>
          <w:szCs w:val="32"/>
        </w:rPr>
        <w:t>十、发布公告的媒介：</w:t>
      </w:r>
      <w:r>
        <w:rPr>
          <w:rFonts w:hint="eastAsia" w:ascii="华文仿宋" w:hAnsi="华文仿宋" w:eastAsia="华文仿宋" w:cs="华文仿宋"/>
          <w:sz w:val="32"/>
          <w:szCs w:val="32"/>
        </w:rPr>
        <w:t>　　</w:t>
      </w:r>
    </w:p>
    <w:p>
      <w:pPr>
        <w:ind w:firstLine="640" w:firstLineChars="200"/>
        <w:rPr>
          <w:rFonts w:ascii="华文仿宋" w:hAnsi="华文仿宋" w:eastAsia="华文仿宋" w:cs="华文仿宋"/>
          <w:sz w:val="32"/>
          <w:szCs w:val="32"/>
        </w:rPr>
      </w:pPr>
      <w:r>
        <w:rPr>
          <w:rFonts w:hint="eastAsia" w:ascii="华文仿宋" w:hAnsi="华文仿宋" w:eastAsia="华文仿宋" w:cs="华文仿宋"/>
          <w:sz w:val="32"/>
          <w:szCs w:val="32"/>
        </w:rPr>
        <w:t>本次竞争性谈判公告在恩施大峡谷官网、恩旅集团玩转网网上发布。</w:t>
      </w:r>
    </w:p>
    <w:p>
      <w:pPr>
        <w:ind w:firstLine="641" w:firstLineChars="200"/>
        <w:rPr>
          <w:rFonts w:ascii="华文仿宋" w:hAnsi="华文仿宋" w:eastAsia="华文仿宋" w:cs="华文仿宋"/>
          <w:b/>
          <w:bCs/>
          <w:sz w:val="32"/>
          <w:szCs w:val="32"/>
        </w:rPr>
      </w:pPr>
      <w:r>
        <w:rPr>
          <w:rFonts w:hint="eastAsia" w:ascii="华文仿宋" w:hAnsi="华文仿宋" w:eastAsia="华文仿宋" w:cs="华文仿宋"/>
          <w:b/>
          <w:bCs/>
          <w:sz w:val="32"/>
          <w:szCs w:val="32"/>
        </w:rPr>
        <w:t>十一、联系方式：</w:t>
      </w:r>
    </w:p>
    <w:p>
      <w:pPr>
        <w:ind w:firstLine="640" w:firstLineChars="200"/>
        <w:rPr>
          <w:rFonts w:ascii="华文仿宋" w:hAnsi="华文仿宋" w:eastAsia="华文仿宋" w:cs="华文仿宋"/>
          <w:sz w:val="32"/>
          <w:szCs w:val="32"/>
        </w:rPr>
      </w:pPr>
      <w:r>
        <w:rPr>
          <w:rFonts w:hint="eastAsia" w:ascii="华文仿宋" w:hAnsi="华文仿宋" w:eastAsia="华文仿宋" w:cs="华文仿宋"/>
          <w:sz w:val="32"/>
          <w:szCs w:val="32"/>
        </w:rPr>
        <w:t>招标人：恩施大峡谷旅游开发有限公司</w:t>
      </w:r>
    </w:p>
    <w:p>
      <w:pPr>
        <w:ind w:firstLine="640" w:firstLineChars="200"/>
        <w:rPr>
          <w:rFonts w:ascii="华文仿宋" w:hAnsi="华文仿宋" w:eastAsia="华文仿宋" w:cs="华文仿宋"/>
          <w:sz w:val="32"/>
          <w:szCs w:val="32"/>
        </w:rPr>
      </w:pPr>
      <w:r>
        <w:rPr>
          <w:rFonts w:hint="eastAsia" w:ascii="华文仿宋" w:hAnsi="华文仿宋" w:eastAsia="华文仿宋" w:cs="华文仿宋"/>
          <w:sz w:val="32"/>
          <w:szCs w:val="32"/>
        </w:rPr>
        <w:t>地  址：恩施大峡谷旅游开发有限公司办公大楼四楼会议室。</w:t>
      </w:r>
    </w:p>
    <w:p>
      <w:pPr>
        <w:ind w:firstLine="640" w:firstLineChars="200"/>
        <w:rPr>
          <w:rFonts w:ascii="华文仿宋" w:hAnsi="华文仿宋" w:eastAsia="华文仿宋" w:cs="华文仿宋"/>
          <w:sz w:val="32"/>
          <w:szCs w:val="32"/>
        </w:rPr>
      </w:pPr>
      <w:r>
        <w:rPr>
          <w:rFonts w:hint="eastAsia" w:ascii="华文仿宋" w:hAnsi="华文仿宋" w:eastAsia="华文仿宋" w:cs="华文仿宋"/>
          <w:sz w:val="32"/>
          <w:szCs w:val="32"/>
        </w:rPr>
        <w:t>电  话：0718-8819191</w:t>
      </w:r>
    </w:p>
    <w:p>
      <w:pPr>
        <w:ind w:firstLine="640" w:firstLineChars="200"/>
        <w:rPr>
          <w:rFonts w:ascii="华文仿宋" w:hAnsi="华文仿宋" w:eastAsia="华文仿宋" w:cs="华文仿宋"/>
          <w:sz w:val="32"/>
          <w:szCs w:val="32"/>
        </w:rPr>
      </w:pPr>
      <w:r>
        <w:rPr>
          <w:rFonts w:hint="eastAsia" w:ascii="华文仿宋" w:hAnsi="华文仿宋" w:eastAsia="华文仿宋" w:cs="华文仿宋"/>
          <w:sz w:val="32"/>
          <w:szCs w:val="32"/>
        </w:rPr>
        <w:t>邮  箱：1193186956@qq.com</w:t>
      </w:r>
    </w:p>
    <w:p>
      <w:pPr>
        <w:ind w:firstLine="640" w:firstLineChars="200"/>
        <w:rPr>
          <w:rFonts w:ascii="华文仿宋" w:hAnsi="华文仿宋" w:eastAsia="华文仿宋" w:cs="华文仿宋"/>
          <w:sz w:val="32"/>
          <w:szCs w:val="32"/>
        </w:rPr>
      </w:pPr>
      <w:r>
        <w:rPr>
          <w:rFonts w:hint="eastAsia" w:ascii="华文仿宋" w:hAnsi="华文仿宋" w:eastAsia="华文仿宋" w:cs="华文仿宋"/>
          <w:sz w:val="32"/>
          <w:szCs w:val="32"/>
        </w:rPr>
        <w:t>联系人: 姚  程  18371811555</w:t>
      </w:r>
    </w:p>
    <w:p>
      <w:pPr>
        <w:ind w:firstLine="1600" w:firstLineChars="500"/>
        <w:rPr>
          <w:rFonts w:ascii="华文仿宋" w:hAnsi="华文仿宋" w:eastAsia="华文仿宋" w:cs="华文仿宋"/>
          <w:sz w:val="32"/>
          <w:szCs w:val="32"/>
        </w:rPr>
      </w:pPr>
      <w:r>
        <w:rPr>
          <w:rFonts w:hint="eastAsia" w:ascii="华文仿宋" w:hAnsi="华文仿宋" w:eastAsia="华文仿宋" w:cs="华文仿宋"/>
          <w:sz w:val="32"/>
          <w:szCs w:val="32"/>
        </w:rPr>
        <w:t>黄龙梅   13403074242</w:t>
      </w:r>
    </w:p>
    <w:p>
      <w:pPr>
        <w:ind w:firstLine="640" w:firstLineChars="200"/>
        <w:rPr>
          <w:rFonts w:ascii="华文仿宋" w:hAnsi="华文仿宋" w:eastAsia="华文仿宋" w:cs="华文仿宋"/>
          <w:sz w:val="32"/>
          <w:szCs w:val="32"/>
        </w:rPr>
      </w:pPr>
      <w:r>
        <w:rPr>
          <w:rFonts w:hint="eastAsia" w:ascii="华文仿宋" w:hAnsi="华文仿宋" w:eastAsia="华文仿宋" w:cs="华文仿宋"/>
          <w:sz w:val="32"/>
          <w:szCs w:val="32"/>
        </w:rPr>
        <w:t xml:space="preserve">      李  芳   18727291096</w:t>
      </w:r>
    </w:p>
    <w:p>
      <w:pPr>
        <w:ind w:firstLine="640" w:firstLineChars="200"/>
        <w:rPr>
          <w:rFonts w:ascii="华文仿宋" w:hAnsi="华文仿宋" w:eastAsia="华文仿宋" w:cs="华文仿宋"/>
          <w:sz w:val="32"/>
          <w:szCs w:val="32"/>
        </w:rPr>
      </w:pPr>
      <w:r>
        <w:rPr>
          <w:rFonts w:hint="eastAsia" w:ascii="华文仿宋" w:hAnsi="华文仿宋" w:eastAsia="华文仿宋" w:cs="华文仿宋"/>
          <w:sz w:val="32"/>
          <w:szCs w:val="32"/>
        </w:rPr>
        <w:t xml:space="preserve">         </w:t>
      </w:r>
    </w:p>
    <w:p>
      <w:pPr>
        <w:ind w:firstLine="4160" w:firstLineChars="1300"/>
        <w:rPr>
          <w:rFonts w:ascii="华文仿宋" w:hAnsi="华文仿宋" w:eastAsia="华文仿宋" w:cs="华文仿宋"/>
          <w:sz w:val="32"/>
          <w:szCs w:val="32"/>
        </w:rPr>
      </w:pPr>
      <w:r>
        <w:rPr>
          <w:rFonts w:hint="eastAsia" w:ascii="华文仿宋" w:hAnsi="华文仿宋" w:eastAsia="华文仿宋" w:cs="华文仿宋"/>
          <w:sz w:val="32"/>
          <w:szCs w:val="32"/>
        </w:rPr>
        <w:t>恩施大峡谷旅游开发有限公司</w:t>
      </w:r>
    </w:p>
    <w:p>
      <w:pPr>
        <w:ind w:firstLine="5120" w:firstLineChars="1600"/>
        <w:rPr>
          <w:rFonts w:ascii="华文仿宋" w:hAnsi="华文仿宋" w:eastAsia="华文仿宋" w:cs="华文仿宋"/>
          <w:sz w:val="32"/>
          <w:szCs w:val="32"/>
        </w:rPr>
      </w:pPr>
      <w:r>
        <w:rPr>
          <w:rFonts w:hint="eastAsia" w:ascii="华文仿宋" w:hAnsi="华文仿宋" w:eastAsia="华文仿宋" w:cs="华文仿宋"/>
          <w:sz w:val="32"/>
          <w:szCs w:val="32"/>
        </w:rPr>
        <w:t xml:space="preserve">2019年7月7日      </w:t>
      </w:r>
    </w:p>
    <w:p>
      <w:pPr>
        <w:spacing w:line="336" w:lineRule="auto"/>
        <w:ind w:right="-296" w:firstLine="2891" w:firstLineChars="900"/>
        <w:rPr>
          <w:rFonts w:ascii="宋体" w:hAnsi="宋体"/>
          <w:b/>
          <w:bCs/>
          <w:sz w:val="32"/>
          <w:szCs w:val="32"/>
        </w:rPr>
      </w:pPr>
    </w:p>
    <w:p>
      <w:pPr>
        <w:spacing w:line="336" w:lineRule="auto"/>
        <w:ind w:right="-296" w:firstLine="2891" w:firstLineChars="900"/>
        <w:rPr>
          <w:rFonts w:ascii="宋体" w:hAnsi="宋体"/>
          <w:b/>
          <w:bCs/>
          <w:sz w:val="32"/>
          <w:szCs w:val="32"/>
        </w:rPr>
      </w:pPr>
    </w:p>
    <w:p>
      <w:pPr>
        <w:spacing w:line="336" w:lineRule="auto"/>
        <w:ind w:right="-296" w:firstLine="2891" w:firstLineChars="900"/>
        <w:rPr>
          <w:rFonts w:ascii="宋体" w:hAnsi="宋体"/>
          <w:b/>
          <w:bCs/>
          <w:sz w:val="32"/>
          <w:szCs w:val="32"/>
        </w:rPr>
      </w:pPr>
    </w:p>
    <w:p>
      <w:pPr>
        <w:spacing w:line="336" w:lineRule="auto"/>
        <w:ind w:right="-296" w:firstLine="2891" w:firstLineChars="900"/>
        <w:rPr>
          <w:rFonts w:ascii="宋体" w:hAnsi="宋体"/>
          <w:b/>
          <w:bCs/>
          <w:sz w:val="32"/>
          <w:szCs w:val="32"/>
        </w:rPr>
      </w:pPr>
    </w:p>
    <w:p>
      <w:pPr>
        <w:spacing w:line="336" w:lineRule="auto"/>
        <w:ind w:right="-296" w:firstLine="2891" w:firstLineChars="900"/>
        <w:rPr>
          <w:rFonts w:ascii="宋体" w:hAnsi="宋体"/>
          <w:b/>
          <w:bCs/>
          <w:sz w:val="32"/>
          <w:szCs w:val="32"/>
        </w:rPr>
      </w:pPr>
      <w:r>
        <w:rPr>
          <w:rFonts w:hint="eastAsia" w:ascii="宋体" w:hAnsi="宋体"/>
          <w:b/>
          <w:bCs/>
          <w:sz w:val="32"/>
          <w:szCs w:val="32"/>
        </w:rPr>
        <w:t>谈判须知前附表</w:t>
      </w:r>
    </w:p>
    <w:tbl>
      <w:tblPr>
        <w:tblStyle w:val="18"/>
        <w:tblW w:w="9476" w:type="dxa"/>
        <w:jc w:val="center"/>
        <w:tblInd w:w="0" w:type="dxa"/>
        <w:tblBorders>
          <w:top w:val="single" w:color="000000" w:sz="24" w:space="0"/>
          <w:left w:val="single" w:color="000000" w:sz="24" w:space="0"/>
          <w:bottom w:val="single" w:color="000000" w:sz="24" w:space="0"/>
          <w:right w:val="single" w:color="000000" w:sz="24"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1439"/>
        <w:gridCol w:w="7569"/>
      </w:tblGrid>
      <w:tr>
        <w:tblPrEx>
          <w:tblBorders>
            <w:top w:val="single" w:color="000000" w:sz="24" w:space="0"/>
            <w:left w:val="single" w:color="000000" w:sz="24" w:space="0"/>
            <w:bottom w:val="single" w:color="000000" w:sz="24" w:space="0"/>
            <w:right w:val="single" w:color="000000" w:sz="24" w:space="0"/>
            <w:insideH w:val="single" w:color="000000" w:sz="6" w:space="0"/>
            <w:insideV w:val="single" w:color="000000" w:sz="6" w:space="0"/>
          </w:tblBorders>
          <w:tblLayout w:type="fixed"/>
          <w:tblCellMar>
            <w:top w:w="0" w:type="dxa"/>
            <w:left w:w="108" w:type="dxa"/>
            <w:bottom w:w="0" w:type="dxa"/>
            <w:right w:w="108" w:type="dxa"/>
          </w:tblCellMar>
        </w:tblPrEx>
        <w:trPr>
          <w:trHeight w:val="355" w:hRule="atLeast"/>
          <w:jc w:val="center"/>
        </w:trPr>
        <w:tc>
          <w:tcPr>
            <w:tcW w:w="468" w:type="dxa"/>
          </w:tcPr>
          <w:p>
            <w:pPr>
              <w:spacing w:line="340" w:lineRule="exact"/>
              <w:jc w:val="center"/>
              <w:rPr>
                <w:rFonts w:ascii="宋体" w:hAnsi="宋体"/>
                <w:szCs w:val="21"/>
              </w:rPr>
            </w:pPr>
            <w:r>
              <w:rPr>
                <w:rFonts w:hint="eastAsia" w:ascii="宋体" w:hAnsi="宋体"/>
                <w:szCs w:val="21"/>
              </w:rPr>
              <w:t>序号</w:t>
            </w:r>
          </w:p>
        </w:tc>
        <w:tc>
          <w:tcPr>
            <w:tcW w:w="1439" w:type="dxa"/>
            <w:vAlign w:val="center"/>
          </w:tcPr>
          <w:p>
            <w:pPr>
              <w:spacing w:line="340" w:lineRule="exact"/>
              <w:jc w:val="center"/>
              <w:rPr>
                <w:rFonts w:ascii="宋体" w:hAnsi="宋体"/>
                <w:szCs w:val="21"/>
              </w:rPr>
            </w:pPr>
            <w:r>
              <w:rPr>
                <w:rFonts w:hint="eastAsia" w:ascii="宋体" w:hAnsi="宋体"/>
                <w:szCs w:val="21"/>
              </w:rPr>
              <w:t>内容</w:t>
            </w:r>
          </w:p>
        </w:tc>
        <w:tc>
          <w:tcPr>
            <w:tcW w:w="7569" w:type="dxa"/>
            <w:vAlign w:val="center"/>
          </w:tcPr>
          <w:p>
            <w:pPr>
              <w:spacing w:line="340" w:lineRule="exact"/>
              <w:jc w:val="center"/>
              <w:rPr>
                <w:rFonts w:ascii="宋体" w:hAnsi="宋体"/>
                <w:szCs w:val="21"/>
              </w:rPr>
            </w:pPr>
            <w:r>
              <w:rPr>
                <w:rFonts w:hint="eastAsia" w:ascii="宋体" w:hAnsi="宋体"/>
                <w:szCs w:val="21"/>
              </w:rPr>
              <w:t>说   明   与   要   求</w:t>
            </w:r>
          </w:p>
        </w:tc>
      </w:tr>
      <w:tr>
        <w:tblPrEx>
          <w:tblBorders>
            <w:top w:val="single" w:color="000000" w:sz="24" w:space="0"/>
            <w:left w:val="single" w:color="000000" w:sz="24" w:space="0"/>
            <w:bottom w:val="single" w:color="000000" w:sz="24" w:space="0"/>
            <w:right w:val="single" w:color="000000" w:sz="24" w:space="0"/>
            <w:insideH w:val="single" w:color="000000" w:sz="6" w:space="0"/>
            <w:insideV w:val="single" w:color="000000" w:sz="6" w:space="0"/>
          </w:tblBorders>
          <w:tblLayout w:type="fixed"/>
          <w:tblCellMar>
            <w:top w:w="0" w:type="dxa"/>
            <w:left w:w="108" w:type="dxa"/>
            <w:bottom w:w="0" w:type="dxa"/>
            <w:right w:w="108" w:type="dxa"/>
          </w:tblCellMar>
        </w:tblPrEx>
        <w:trPr>
          <w:trHeight w:val="28" w:hRule="atLeast"/>
          <w:jc w:val="center"/>
        </w:trPr>
        <w:tc>
          <w:tcPr>
            <w:tcW w:w="468" w:type="dxa"/>
            <w:vAlign w:val="center"/>
          </w:tcPr>
          <w:p>
            <w:pPr>
              <w:spacing w:line="340" w:lineRule="exact"/>
              <w:jc w:val="center"/>
              <w:rPr>
                <w:rFonts w:ascii="宋体" w:hAnsi="宋体"/>
                <w:szCs w:val="21"/>
              </w:rPr>
            </w:pPr>
            <w:r>
              <w:rPr>
                <w:rFonts w:ascii="宋体" w:hAnsi="宋体"/>
                <w:szCs w:val="21"/>
              </w:rPr>
              <w:t>1</w:t>
            </w:r>
          </w:p>
        </w:tc>
        <w:tc>
          <w:tcPr>
            <w:tcW w:w="1439" w:type="dxa"/>
            <w:vAlign w:val="center"/>
          </w:tcPr>
          <w:p>
            <w:pPr>
              <w:spacing w:line="340" w:lineRule="exact"/>
              <w:jc w:val="center"/>
              <w:rPr>
                <w:rFonts w:ascii="宋体" w:hAnsi="宋体"/>
                <w:szCs w:val="21"/>
              </w:rPr>
            </w:pPr>
            <w:r>
              <w:rPr>
                <w:rFonts w:hint="eastAsia" w:ascii="宋体" w:hAnsi="宋体"/>
                <w:szCs w:val="21"/>
              </w:rPr>
              <w:t>采购人相关情况</w:t>
            </w:r>
          </w:p>
        </w:tc>
        <w:tc>
          <w:tcPr>
            <w:tcW w:w="7569" w:type="dxa"/>
          </w:tcPr>
          <w:p>
            <w:pPr>
              <w:ind w:right="-313" w:rightChars="-149"/>
              <w:jc w:val="left"/>
              <w:rPr>
                <w:rFonts w:hAnsi="宋体"/>
                <w:szCs w:val="21"/>
              </w:rPr>
            </w:pPr>
            <w:r>
              <w:rPr>
                <w:rFonts w:hint="eastAsia" w:hAnsi="宋体"/>
                <w:szCs w:val="21"/>
              </w:rPr>
              <w:t>项目名称：</w:t>
            </w:r>
            <w:r>
              <w:rPr>
                <w:rFonts w:hint="eastAsia" w:ascii="宋体" w:hAnsi="Courier New"/>
                <w:szCs w:val="20"/>
              </w:rPr>
              <w:t>恩施大峡谷旅游开发有限公司2019年度龙船调剧场设备定点采购项目</w:t>
            </w:r>
          </w:p>
          <w:p>
            <w:pPr>
              <w:pStyle w:val="10"/>
              <w:spacing w:line="340" w:lineRule="exact"/>
              <w:ind w:left="-4" w:leftChars="-2"/>
              <w:jc w:val="left"/>
              <w:rPr>
                <w:rFonts w:hAnsi="宋体"/>
                <w:szCs w:val="21"/>
              </w:rPr>
            </w:pPr>
            <w:r>
              <w:rPr>
                <w:rFonts w:hint="eastAsia" w:hAnsi="宋体"/>
                <w:szCs w:val="21"/>
              </w:rPr>
              <w:t>采 购 人：</w:t>
            </w:r>
            <w:r>
              <w:rPr>
                <w:rFonts w:hint="eastAsia"/>
              </w:rPr>
              <w:t>恩施大峡谷旅游开发有限公司</w:t>
            </w:r>
            <w:r>
              <w:rPr>
                <w:rFonts w:hint="eastAsia" w:hAnsi="宋体"/>
                <w:szCs w:val="21"/>
              </w:rPr>
              <w:t xml:space="preserve">     </w:t>
            </w:r>
          </w:p>
          <w:p>
            <w:pPr>
              <w:pStyle w:val="10"/>
              <w:spacing w:line="340" w:lineRule="exact"/>
              <w:ind w:left="-4" w:leftChars="-2"/>
              <w:jc w:val="left"/>
              <w:rPr>
                <w:rFonts w:hAnsi="宋体"/>
                <w:szCs w:val="21"/>
              </w:rPr>
            </w:pPr>
            <w:r>
              <w:rPr>
                <w:rFonts w:hint="eastAsia" w:hAnsi="宋体"/>
                <w:szCs w:val="21"/>
              </w:rPr>
              <w:t>联 系 人：黄龙梅</w:t>
            </w:r>
          </w:p>
          <w:p>
            <w:pPr>
              <w:pStyle w:val="10"/>
              <w:spacing w:line="340" w:lineRule="exact"/>
              <w:ind w:left="-4" w:leftChars="-2"/>
              <w:jc w:val="left"/>
              <w:rPr>
                <w:rFonts w:hAnsi="宋体"/>
                <w:szCs w:val="21"/>
              </w:rPr>
            </w:pPr>
            <w:r>
              <w:rPr>
                <w:rFonts w:hint="eastAsia" w:hAnsi="宋体"/>
                <w:szCs w:val="21"/>
              </w:rPr>
              <w:t>联系电话：13403074242</w:t>
            </w:r>
          </w:p>
        </w:tc>
      </w:tr>
      <w:tr>
        <w:tblPrEx>
          <w:tblBorders>
            <w:top w:val="single" w:color="000000" w:sz="24" w:space="0"/>
            <w:left w:val="single" w:color="000000" w:sz="24" w:space="0"/>
            <w:bottom w:val="single" w:color="000000" w:sz="24" w:space="0"/>
            <w:right w:val="single" w:color="000000" w:sz="24" w:space="0"/>
            <w:insideH w:val="single" w:color="000000" w:sz="6" w:space="0"/>
            <w:insideV w:val="single" w:color="000000" w:sz="6" w:space="0"/>
          </w:tblBorders>
          <w:tblLayout w:type="fixed"/>
          <w:tblCellMar>
            <w:top w:w="0" w:type="dxa"/>
            <w:left w:w="108" w:type="dxa"/>
            <w:bottom w:w="0" w:type="dxa"/>
            <w:right w:w="108" w:type="dxa"/>
          </w:tblCellMar>
        </w:tblPrEx>
        <w:trPr>
          <w:trHeight w:val="28" w:hRule="atLeast"/>
          <w:jc w:val="center"/>
        </w:trPr>
        <w:tc>
          <w:tcPr>
            <w:tcW w:w="468" w:type="dxa"/>
            <w:vAlign w:val="center"/>
          </w:tcPr>
          <w:p>
            <w:pPr>
              <w:spacing w:line="340" w:lineRule="exact"/>
              <w:jc w:val="center"/>
              <w:rPr>
                <w:rFonts w:ascii="宋体" w:hAnsi="宋体"/>
                <w:szCs w:val="21"/>
              </w:rPr>
            </w:pPr>
            <w:r>
              <w:rPr>
                <w:rFonts w:ascii="宋体" w:hAnsi="宋体"/>
                <w:szCs w:val="21"/>
              </w:rPr>
              <w:t>2</w:t>
            </w:r>
          </w:p>
        </w:tc>
        <w:tc>
          <w:tcPr>
            <w:tcW w:w="1439" w:type="dxa"/>
            <w:vAlign w:val="center"/>
          </w:tcPr>
          <w:p>
            <w:pPr>
              <w:spacing w:line="340" w:lineRule="exact"/>
              <w:jc w:val="center"/>
              <w:rPr>
                <w:rFonts w:ascii="宋体" w:hAnsi="宋体"/>
                <w:szCs w:val="21"/>
              </w:rPr>
            </w:pPr>
            <w:r>
              <w:rPr>
                <w:rFonts w:hint="eastAsia" w:ascii="宋体" w:hAnsi="宋体"/>
                <w:szCs w:val="21"/>
              </w:rPr>
              <w:t>谈判代理机构情况</w:t>
            </w:r>
          </w:p>
        </w:tc>
        <w:tc>
          <w:tcPr>
            <w:tcW w:w="7569" w:type="dxa"/>
          </w:tcPr>
          <w:p>
            <w:pPr>
              <w:pStyle w:val="10"/>
              <w:spacing w:line="340" w:lineRule="exact"/>
              <w:jc w:val="left"/>
              <w:rPr>
                <w:rFonts w:hAnsi="宋体"/>
                <w:szCs w:val="21"/>
              </w:rPr>
            </w:pPr>
            <w:r>
              <w:rPr>
                <w:rFonts w:hint="eastAsia" w:hAnsi="宋体"/>
                <w:szCs w:val="21"/>
              </w:rPr>
              <w:t>代理机构：恩施大峡谷旅游开发有限公司采购中心</w:t>
            </w:r>
          </w:p>
          <w:p>
            <w:pPr>
              <w:pStyle w:val="10"/>
              <w:spacing w:line="340" w:lineRule="exact"/>
              <w:jc w:val="left"/>
              <w:rPr>
                <w:rFonts w:hAnsi="宋体"/>
                <w:szCs w:val="21"/>
              </w:rPr>
            </w:pPr>
            <w:r>
              <w:rPr>
                <w:rFonts w:hint="eastAsia" w:hAnsi="宋体"/>
                <w:szCs w:val="21"/>
              </w:rPr>
              <w:t>地    址：恩施大峡谷旅游开发有限公司办公大楼</w:t>
            </w:r>
          </w:p>
        </w:tc>
      </w:tr>
      <w:tr>
        <w:tblPrEx>
          <w:tblBorders>
            <w:top w:val="single" w:color="000000" w:sz="24" w:space="0"/>
            <w:left w:val="single" w:color="000000" w:sz="24" w:space="0"/>
            <w:bottom w:val="single" w:color="000000" w:sz="24" w:space="0"/>
            <w:right w:val="single" w:color="000000" w:sz="24" w:space="0"/>
            <w:insideH w:val="single" w:color="000000" w:sz="6" w:space="0"/>
            <w:insideV w:val="single" w:color="000000" w:sz="6" w:space="0"/>
          </w:tblBorders>
          <w:tblLayout w:type="fixed"/>
          <w:tblCellMar>
            <w:top w:w="0" w:type="dxa"/>
            <w:left w:w="108" w:type="dxa"/>
            <w:bottom w:w="0" w:type="dxa"/>
            <w:right w:w="108" w:type="dxa"/>
          </w:tblCellMar>
        </w:tblPrEx>
        <w:trPr>
          <w:trHeight w:val="28" w:hRule="atLeast"/>
          <w:jc w:val="center"/>
        </w:trPr>
        <w:tc>
          <w:tcPr>
            <w:tcW w:w="468" w:type="dxa"/>
            <w:vAlign w:val="center"/>
          </w:tcPr>
          <w:p>
            <w:pPr>
              <w:spacing w:line="340" w:lineRule="exact"/>
              <w:jc w:val="center"/>
              <w:rPr>
                <w:rFonts w:ascii="宋体" w:hAnsi="宋体"/>
                <w:szCs w:val="21"/>
              </w:rPr>
            </w:pPr>
            <w:r>
              <w:rPr>
                <w:rFonts w:ascii="宋体" w:hAnsi="宋体"/>
                <w:szCs w:val="21"/>
              </w:rPr>
              <w:t>3</w:t>
            </w:r>
          </w:p>
        </w:tc>
        <w:tc>
          <w:tcPr>
            <w:tcW w:w="1439" w:type="dxa"/>
            <w:vAlign w:val="center"/>
          </w:tcPr>
          <w:p>
            <w:pPr>
              <w:spacing w:line="340" w:lineRule="exact"/>
              <w:jc w:val="center"/>
              <w:rPr>
                <w:rFonts w:ascii="宋体" w:hAnsi="宋体"/>
                <w:szCs w:val="21"/>
              </w:rPr>
            </w:pPr>
            <w:r>
              <w:rPr>
                <w:rFonts w:hint="eastAsia" w:ascii="宋体" w:hAnsi="宋体"/>
                <w:szCs w:val="21"/>
              </w:rPr>
              <w:t>工程报价</w:t>
            </w:r>
          </w:p>
        </w:tc>
        <w:tc>
          <w:tcPr>
            <w:tcW w:w="7569" w:type="dxa"/>
          </w:tcPr>
          <w:p>
            <w:pPr>
              <w:spacing w:line="340" w:lineRule="exact"/>
              <w:rPr>
                <w:rFonts w:ascii="宋体" w:hAnsi="宋体"/>
                <w:szCs w:val="21"/>
              </w:rPr>
            </w:pPr>
            <w:r>
              <w:rPr>
                <w:rFonts w:hint="eastAsia" w:ascii="宋体" w:hAnsi="宋体"/>
                <w:szCs w:val="21"/>
              </w:rPr>
              <w:t>采用综合报价法，投标总价包括成本、税费、运费等所有费用。</w:t>
            </w:r>
          </w:p>
        </w:tc>
      </w:tr>
      <w:tr>
        <w:tblPrEx>
          <w:tblBorders>
            <w:top w:val="single" w:color="000000" w:sz="24" w:space="0"/>
            <w:left w:val="single" w:color="000000" w:sz="24" w:space="0"/>
            <w:bottom w:val="single" w:color="000000" w:sz="24" w:space="0"/>
            <w:right w:val="single" w:color="000000" w:sz="24" w:space="0"/>
            <w:insideH w:val="single" w:color="000000" w:sz="6" w:space="0"/>
            <w:insideV w:val="single" w:color="000000" w:sz="6" w:space="0"/>
          </w:tblBorders>
          <w:tblLayout w:type="fixed"/>
          <w:tblCellMar>
            <w:top w:w="0" w:type="dxa"/>
            <w:left w:w="108" w:type="dxa"/>
            <w:bottom w:w="0" w:type="dxa"/>
            <w:right w:w="108" w:type="dxa"/>
          </w:tblCellMar>
        </w:tblPrEx>
        <w:trPr>
          <w:trHeight w:val="28" w:hRule="atLeast"/>
          <w:jc w:val="center"/>
        </w:trPr>
        <w:tc>
          <w:tcPr>
            <w:tcW w:w="468" w:type="dxa"/>
            <w:vAlign w:val="center"/>
          </w:tcPr>
          <w:p>
            <w:pPr>
              <w:spacing w:line="340" w:lineRule="exact"/>
              <w:jc w:val="center"/>
              <w:rPr>
                <w:rFonts w:ascii="宋体" w:hAnsi="宋体"/>
                <w:szCs w:val="21"/>
              </w:rPr>
            </w:pPr>
            <w:r>
              <w:rPr>
                <w:rFonts w:hint="eastAsia" w:ascii="宋体" w:hAnsi="宋体"/>
                <w:szCs w:val="21"/>
              </w:rPr>
              <w:t>4</w:t>
            </w:r>
          </w:p>
        </w:tc>
        <w:tc>
          <w:tcPr>
            <w:tcW w:w="1439" w:type="dxa"/>
            <w:vAlign w:val="center"/>
          </w:tcPr>
          <w:p>
            <w:pPr>
              <w:spacing w:line="340" w:lineRule="exact"/>
              <w:jc w:val="center"/>
              <w:rPr>
                <w:rFonts w:ascii="宋体" w:hAnsi="宋体"/>
                <w:szCs w:val="21"/>
              </w:rPr>
            </w:pPr>
            <w:r>
              <w:rPr>
                <w:rFonts w:hint="eastAsia" w:ascii="宋体" w:hAnsi="宋体"/>
                <w:szCs w:val="21"/>
              </w:rPr>
              <w:t>谈判响应文件份数及保证金</w:t>
            </w:r>
          </w:p>
        </w:tc>
        <w:tc>
          <w:tcPr>
            <w:tcW w:w="7569" w:type="dxa"/>
            <w:vAlign w:val="center"/>
          </w:tcPr>
          <w:p>
            <w:pPr>
              <w:pStyle w:val="10"/>
              <w:spacing w:line="340" w:lineRule="exact"/>
              <w:ind w:firstLine="1"/>
              <w:rPr>
                <w:rFonts w:hAnsi="宋体"/>
                <w:szCs w:val="21"/>
              </w:rPr>
            </w:pPr>
            <w:r>
              <w:rPr>
                <w:rFonts w:hint="eastAsia" w:hAnsi="宋体"/>
                <w:szCs w:val="21"/>
              </w:rPr>
              <w:t>正本1份 副本4份，按谈判文件要求密封送达</w:t>
            </w:r>
          </w:p>
          <w:p>
            <w:pPr>
              <w:pStyle w:val="10"/>
              <w:spacing w:line="340" w:lineRule="exact"/>
              <w:ind w:firstLine="1"/>
              <w:rPr>
                <w:rFonts w:hAnsi="宋体"/>
                <w:szCs w:val="21"/>
              </w:rPr>
            </w:pPr>
            <w:r>
              <w:rPr>
                <w:rFonts w:hint="eastAsia" w:hAnsi="宋体"/>
                <w:szCs w:val="21"/>
              </w:rPr>
              <w:t>投标保证金：10,000.00元</w:t>
            </w:r>
          </w:p>
        </w:tc>
      </w:tr>
      <w:tr>
        <w:tblPrEx>
          <w:tblBorders>
            <w:top w:val="single" w:color="000000" w:sz="24" w:space="0"/>
            <w:left w:val="single" w:color="000000" w:sz="24" w:space="0"/>
            <w:bottom w:val="single" w:color="000000" w:sz="24" w:space="0"/>
            <w:right w:val="single" w:color="000000" w:sz="24" w:space="0"/>
            <w:insideH w:val="single" w:color="000000" w:sz="6" w:space="0"/>
            <w:insideV w:val="single" w:color="000000" w:sz="6" w:space="0"/>
          </w:tblBorders>
          <w:tblLayout w:type="fixed"/>
          <w:tblCellMar>
            <w:top w:w="0" w:type="dxa"/>
            <w:left w:w="108" w:type="dxa"/>
            <w:bottom w:w="0" w:type="dxa"/>
            <w:right w:w="108" w:type="dxa"/>
          </w:tblCellMar>
        </w:tblPrEx>
        <w:trPr>
          <w:trHeight w:val="28" w:hRule="atLeast"/>
          <w:jc w:val="center"/>
        </w:trPr>
        <w:tc>
          <w:tcPr>
            <w:tcW w:w="468" w:type="dxa"/>
            <w:vAlign w:val="center"/>
          </w:tcPr>
          <w:p>
            <w:pPr>
              <w:spacing w:line="340" w:lineRule="exact"/>
              <w:jc w:val="center"/>
              <w:rPr>
                <w:rFonts w:ascii="宋体" w:hAnsi="宋体"/>
                <w:szCs w:val="21"/>
              </w:rPr>
            </w:pPr>
            <w:r>
              <w:rPr>
                <w:rFonts w:hint="eastAsia" w:ascii="宋体" w:hAnsi="宋体"/>
                <w:szCs w:val="21"/>
              </w:rPr>
              <w:t>6</w:t>
            </w:r>
          </w:p>
        </w:tc>
        <w:tc>
          <w:tcPr>
            <w:tcW w:w="1439" w:type="dxa"/>
            <w:vAlign w:val="center"/>
          </w:tcPr>
          <w:p>
            <w:pPr>
              <w:spacing w:line="340" w:lineRule="exact"/>
              <w:jc w:val="center"/>
              <w:rPr>
                <w:rFonts w:ascii="宋体" w:hAnsi="宋体"/>
                <w:szCs w:val="21"/>
              </w:rPr>
            </w:pPr>
            <w:r>
              <w:rPr>
                <w:rFonts w:hint="eastAsia" w:ascii="宋体" w:hAnsi="宋体"/>
                <w:szCs w:val="21"/>
              </w:rPr>
              <w:t>谈判响应文件提交地点及截止时间</w:t>
            </w:r>
          </w:p>
        </w:tc>
        <w:tc>
          <w:tcPr>
            <w:tcW w:w="7569" w:type="dxa"/>
          </w:tcPr>
          <w:p>
            <w:pPr>
              <w:spacing w:line="340" w:lineRule="exact"/>
              <w:rPr>
                <w:rFonts w:ascii="宋体" w:hAnsi="宋体"/>
                <w:szCs w:val="21"/>
              </w:rPr>
            </w:pPr>
            <w:r>
              <w:rPr>
                <w:rFonts w:hint="eastAsia" w:ascii="宋体" w:hAnsi="宋体"/>
                <w:szCs w:val="21"/>
              </w:rPr>
              <w:t>递交竞争性谈判文件截止时间：2019年7月19日上午8:30,逾时恕不受理。                                 递交地点：恩施大峡谷旅游开发有限公司办公大楼四楼会议室</w:t>
            </w:r>
          </w:p>
          <w:p>
            <w:pPr>
              <w:spacing w:line="340" w:lineRule="exact"/>
              <w:rPr>
                <w:rFonts w:hAnsi="宋体"/>
                <w:szCs w:val="21"/>
              </w:rPr>
            </w:pPr>
            <w:r>
              <w:rPr>
                <w:rFonts w:hint="eastAsia" w:ascii="宋体" w:hAnsi="宋体"/>
                <w:szCs w:val="21"/>
              </w:rPr>
              <w:t>地    址：</w:t>
            </w:r>
            <w:r>
              <w:rPr>
                <w:rFonts w:hint="eastAsia" w:hAnsi="宋体"/>
                <w:szCs w:val="21"/>
              </w:rPr>
              <w:t>湖北恩施大峡谷旅游开发有限公司办公大楼</w:t>
            </w:r>
          </w:p>
          <w:p>
            <w:pPr>
              <w:spacing w:line="340" w:lineRule="exact"/>
              <w:rPr>
                <w:rFonts w:ascii="宋体" w:hAnsi="宋体"/>
                <w:szCs w:val="21"/>
              </w:rPr>
            </w:pPr>
            <w:r>
              <w:rPr>
                <w:rFonts w:hint="eastAsia" w:ascii="宋体" w:hAnsi="宋体"/>
                <w:szCs w:val="21"/>
              </w:rPr>
              <w:t>邮政编码：445000</w:t>
            </w:r>
          </w:p>
        </w:tc>
      </w:tr>
      <w:tr>
        <w:tblPrEx>
          <w:tblBorders>
            <w:top w:val="single" w:color="000000" w:sz="24" w:space="0"/>
            <w:left w:val="single" w:color="000000" w:sz="24" w:space="0"/>
            <w:bottom w:val="single" w:color="000000" w:sz="24" w:space="0"/>
            <w:right w:val="single" w:color="000000" w:sz="24" w:space="0"/>
            <w:insideH w:val="single" w:color="000000" w:sz="6" w:space="0"/>
            <w:insideV w:val="single" w:color="000000" w:sz="6" w:space="0"/>
          </w:tblBorders>
          <w:tblLayout w:type="fixed"/>
          <w:tblCellMar>
            <w:top w:w="0" w:type="dxa"/>
            <w:left w:w="108" w:type="dxa"/>
            <w:bottom w:w="0" w:type="dxa"/>
            <w:right w:w="108" w:type="dxa"/>
          </w:tblCellMar>
        </w:tblPrEx>
        <w:trPr>
          <w:trHeight w:val="28" w:hRule="atLeast"/>
          <w:jc w:val="center"/>
        </w:trPr>
        <w:tc>
          <w:tcPr>
            <w:tcW w:w="468" w:type="dxa"/>
            <w:vAlign w:val="center"/>
          </w:tcPr>
          <w:p>
            <w:pPr>
              <w:spacing w:line="340" w:lineRule="exact"/>
              <w:jc w:val="center"/>
              <w:rPr>
                <w:rFonts w:ascii="宋体" w:hAnsi="宋体"/>
                <w:szCs w:val="21"/>
              </w:rPr>
            </w:pPr>
            <w:r>
              <w:rPr>
                <w:rFonts w:hint="eastAsia" w:ascii="宋体" w:hAnsi="宋体"/>
                <w:szCs w:val="21"/>
              </w:rPr>
              <w:t>7</w:t>
            </w:r>
          </w:p>
        </w:tc>
        <w:tc>
          <w:tcPr>
            <w:tcW w:w="1439" w:type="dxa"/>
            <w:vAlign w:val="center"/>
          </w:tcPr>
          <w:p>
            <w:pPr>
              <w:spacing w:line="340" w:lineRule="exact"/>
              <w:jc w:val="center"/>
              <w:rPr>
                <w:rFonts w:ascii="宋体" w:hAnsi="宋体"/>
                <w:szCs w:val="21"/>
              </w:rPr>
            </w:pPr>
            <w:r>
              <w:rPr>
                <w:rFonts w:hint="eastAsia" w:ascii="宋体" w:hAnsi="宋体"/>
                <w:szCs w:val="21"/>
              </w:rPr>
              <w:t>谈判</w:t>
            </w:r>
          </w:p>
        </w:tc>
        <w:tc>
          <w:tcPr>
            <w:tcW w:w="7569" w:type="dxa"/>
            <w:vAlign w:val="center"/>
          </w:tcPr>
          <w:p>
            <w:pPr>
              <w:spacing w:line="340" w:lineRule="exact"/>
              <w:rPr>
                <w:rFonts w:ascii="宋体" w:hAnsi="宋体"/>
                <w:szCs w:val="21"/>
              </w:rPr>
            </w:pPr>
            <w:r>
              <w:rPr>
                <w:rFonts w:hint="eastAsia" w:ascii="宋体" w:hAnsi="宋体"/>
                <w:szCs w:val="21"/>
              </w:rPr>
              <w:t>谈判时间：2019年7月19日上午8:30时整</w:t>
            </w:r>
          </w:p>
          <w:p>
            <w:pPr>
              <w:spacing w:line="340" w:lineRule="exact"/>
              <w:rPr>
                <w:rFonts w:ascii="宋体" w:hAnsi="宋体"/>
                <w:szCs w:val="21"/>
              </w:rPr>
            </w:pPr>
            <w:r>
              <w:rPr>
                <w:rFonts w:hint="eastAsia" w:ascii="宋体" w:hAnsi="宋体"/>
                <w:szCs w:val="21"/>
              </w:rPr>
              <w:t>开标地点：恩施大峡谷旅游开发有限公司办公大楼四楼会议室</w:t>
            </w:r>
          </w:p>
          <w:p>
            <w:pPr>
              <w:spacing w:line="340" w:lineRule="exact"/>
              <w:rPr>
                <w:rFonts w:hAnsi="宋体"/>
                <w:szCs w:val="21"/>
              </w:rPr>
            </w:pPr>
            <w:r>
              <w:rPr>
                <w:rFonts w:hint="eastAsia" w:hAnsi="宋体"/>
                <w:szCs w:val="21"/>
              </w:rPr>
              <w:t>地    址：湖北恩施大峡谷旅游开发有限公司办公大楼</w:t>
            </w:r>
          </w:p>
        </w:tc>
      </w:tr>
      <w:tr>
        <w:tblPrEx>
          <w:tblBorders>
            <w:top w:val="single" w:color="000000" w:sz="24" w:space="0"/>
            <w:left w:val="single" w:color="000000" w:sz="24" w:space="0"/>
            <w:bottom w:val="single" w:color="000000" w:sz="24" w:space="0"/>
            <w:right w:val="single" w:color="000000" w:sz="24" w:space="0"/>
            <w:insideH w:val="single" w:color="000000" w:sz="6" w:space="0"/>
            <w:insideV w:val="single" w:color="000000" w:sz="6" w:space="0"/>
          </w:tblBorders>
          <w:tblLayout w:type="fixed"/>
          <w:tblCellMar>
            <w:top w:w="0" w:type="dxa"/>
            <w:left w:w="108" w:type="dxa"/>
            <w:bottom w:w="0" w:type="dxa"/>
            <w:right w:w="108" w:type="dxa"/>
          </w:tblCellMar>
        </w:tblPrEx>
        <w:trPr>
          <w:trHeight w:val="28" w:hRule="atLeast"/>
          <w:jc w:val="center"/>
        </w:trPr>
        <w:tc>
          <w:tcPr>
            <w:tcW w:w="468" w:type="dxa"/>
            <w:vAlign w:val="center"/>
          </w:tcPr>
          <w:p>
            <w:pPr>
              <w:spacing w:line="340" w:lineRule="exact"/>
              <w:jc w:val="center"/>
              <w:rPr>
                <w:rFonts w:ascii="宋体" w:hAnsi="宋体"/>
                <w:szCs w:val="21"/>
              </w:rPr>
            </w:pPr>
            <w:r>
              <w:rPr>
                <w:rFonts w:hint="eastAsia" w:ascii="宋体" w:hAnsi="宋体"/>
                <w:szCs w:val="21"/>
              </w:rPr>
              <w:t>8</w:t>
            </w:r>
          </w:p>
        </w:tc>
        <w:tc>
          <w:tcPr>
            <w:tcW w:w="1439" w:type="dxa"/>
            <w:vAlign w:val="center"/>
          </w:tcPr>
          <w:p>
            <w:pPr>
              <w:spacing w:line="340" w:lineRule="exact"/>
              <w:jc w:val="center"/>
              <w:rPr>
                <w:rFonts w:ascii="宋体" w:hAnsi="宋体"/>
                <w:szCs w:val="21"/>
              </w:rPr>
            </w:pPr>
            <w:r>
              <w:rPr>
                <w:rFonts w:hint="eastAsia" w:ascii="宋体" w:hAnsi="宋体"/>
                <w:szCs w:val="21"/>
              </w:rPr>
              <w:t>供应商资质等级要求</w:t>
            </w:r>
          </w:p>
        </w:tc>
        <w:tc>
          <w:tcPr>
            <w:tcW w:w="7569" w:type="dxa"/>
            <w:vAlign w:val="center"/>
          </w:tcPr>
          <w:p>
            <w:pPr>
              <w:spacing w:line="340" w:lineRule="exact"/>
              <w:rPr>
                <w:rFonts w:ascii="宋体" w:hAnsi="宋体"/>
                <w:szCs w:val="21"/>
              </w:rPr>
            </w:pPr>
            <w:r>
              <w:rPr>
                <w:rFonts w:hint="eastAsia" w:ascii="宋体" w:hAnsi="宋体"/>
                <w:szCs w:val="21"/>
              </w:rPr>
              <w:t>见谈判邀请函第五项</w:t>
            </w:r>
          </w:p>
        </w:tc>
      </w:tr>
      <w:tr>
        <w:tblPrEx>
          <w:tblBorders>
            <w:top w:val="single" w:color="000000" w:sz="24" w:space="0"/>
            <w:left w:val="single" w:color="000000" w:sz="24" w:space="0"/>
            <w:bottom w:val="single" w:color="000000" w:sz="24" w:space="0"/>
            <w:right w:val="single" w:color="000000" w:sz="24" w:space="0"/>
            <w:insideH w:val="single" w:color="000000" w:sz="6" w:space="0"/>
            <w:insideV w:val="single" w:color="000000" w:sz="6" w:space="0"/>
          </w:tblBorders>
          <w:tblLayout w:type="fixed"/>
          <w:tblCellMar>
            <w:top w:w="0" w:type="dxa"/>
            <w:left w:w="108" w:type="dxa"/>
            <w:bottom w:w="0" w:type="dxa"/>
            <w:right w:w="108" w:type="dxa"/>
          </w:tblCellMar>
        </w:tblPrEx>
        <w:trPr>
          <w:trHeight w:val="28" w:hRule="atLeast"/>
          <w:jc w:val="center"/>
        </w:trPr>
        <w:tc>
          <w:tcPr>
            <w:tcW w:w="468" w:type="dxa"/>
            <w:vAlign w:val="center"/>
          </w:tcPr>
          <w:p>
            <w:pPr>
              <w:spacing w:line="340" w:lineRule="exact"/>
              <w:jc w:val="center"/>
              <w:rPr>
                <w:rFonts w:ascii="宋体" w:hAnsi="宋体"/>
                <w:szCs w:val="21"/>
              </w:rPr>
            </w:pPr>
            <w:r>
              <w:rPr>
                <w:rFonts w:hint="eastAsia" w:ascii="宋体" w:hAnsi="宋体"/>
                <w:szCs w:val="21"/>
              </w:rPr>
              <w:t>9</w:t>
            </w:r>
          </w:p>
        </w:tc>
        <w:tc>
          <w:tcPr>
            <w:tcW w:w="1439" w:type="dxa"/>
            <w:vAlign w:val="center"/>
          </w:tcPr>
          <w:p>
            <w:pPr>
              <w:spacing w:line="340" w:lineRule="exact"/>
              <w:jc w:val="center"/>
              <w:rPr>
                <w:rFonts w:ascii="宋体" w:hAnsi="宋体"/>
                <w:szCs w:val="21"/>
              </w:rPr>
            </w:pPr>
            <w:r>
              <w:rPr>
                <w:rFonts w:hint="eastAsia" w:ascii="宋体" w:hAnsi="宋体"/>
                <w:szCs w:val="21"/>
              </w:rPr>
              <w:t>资格审查</w:t>
            </w:r>
          </w:p>
          <w:p>
            <w:pPr>
              <w:spacing w:line="340" w:lineRule="exact"/>
              <w:jc w:val="center"/>
              <w:rPr>
                <w:rFonts w:ascii="宋体" w:hAnsi="宋体"/>
                <w:szCs w:val="21"/>
              </w:rPr>
            </w:pPr>
            <w:r>
              <w:rPr>
                <w:rFonts w:hint="eastAsia" w:ascii="宋体" w:hAnsi="宋体"/>
                <w:szCs w:val="21"/>
              </w:rPr>
              <w:t>方式</w:t>
            </w:r>
          </w:p>
        </w:tc>
        <w:tc>
          <w:tcPr>
            <w:tcW w:w="7569" w:type="dxa"/>
            <w:vAlign w:val="center"/>
          </w:tcPr>
          <w:p>
            <w:pPr>
              <w:spacing w:line="340" w:lineRule="exact"/>
              <w:rPr>
                <w:rFonts w:ascii="宋体" w:hAnsi="宋体"/>
                <w:szCs w:val="21"/>
              </w:rPr>
            </w:pPr>
            <w:r>
              <w:rPr>
                <w:rFonts w:hint="eastAsia" w:ascii="宋体" w:hAnsi="宋体"/>
                <w:szCs w:val="21"/>
              </w:rPr>
              <w:t>由谈判小组在供应商的谈判响应文件中进行资格审查</w:t>
            </w:r>
          </w:p>
        </w:tc>
      </w:tr>
      <w:tr>
        <w:tblPrEx>
          <w:tblBorders>
            <w:top w:val="single" w:color="000000" w:sz="24" w:space="0"/>
            <w:left w:val="single" w:color="000000" w:sz="24" w:space="0"/>
            <w:bottom w:val="single" w:color="000000" w:sz="24" w:space="0"/>
            <w:right w:val="single" w:color="000000" w:sz="24" w:space="0"/>
            <w:insideH w:val="single" w:color="000000" w:sz="6" w:space="0"/>
            <w:insideV w:val="single" w:color="000000" w:sz="6" w:space="0"/>
          </w:tblBorders>
          <w:tblLayout w:type="fixed"/>
          <w:tblCellMar>
            <w:top w:w="0" w:type="dxa"/>
            <w:left w:w="108" w:type="dxa"/>
            <w:bottom w:w="0" w:type="dxa"/>
            <w:right w:w="108" w:type="dxa"/>
          </w:tblCellMar>
        </w:tblPrEx>
        <w:trPr>
          <w:trHeight w:val="28" w:hRule="atLeast"/>
          <w:jc w:val="center"/>
        </w:trPr>
        <w:tc>
          <w:tcPr>
            <w:tcW w:w="468" w:type="dxa"/>
            <w:vAlign w:val="center"/>
          </w:tcPr>
          <w:p>
            <w:pPr>
              <w:spacing w:line="340" w:lineRule="exact"/>
              <w:jc w:val="center"/>
              <w:rPr>
                <w:rFonts w:ascii="宋体" w:hAnsi="宋体"/>
                <w:szCs w:val="21"/>
              </w:rPr>
            </w:pPr>
            <w:r>
              <w:rPr>
                <w:rFonts w:hint="eastAsia" w:ascii="宋体" w:hAnsi="宋体"/>
                <w:szCs w:val="21"/>
              </w:rPr>
              <w:t>10</w:t>
            </w:r>
          </w:p>
        </w:tc>
        <w:tc>
          <w:tcPr>
            <w:tcW w:w="1439" w:type="dxa"/>
            <w:vAlign w:val="center"/>
          </w:tcPr>
          <w:p>
            <w:pPr>
              <w:spacing w:line="340" w:lineRule="exact"/>
              <w:jc w:val="center"/>
              <w:rPr>
                <w:rFonts w:ascii="宋体" w:hAnsi="宋体"/>
                <w:szCs w:val="21"/>
              </w:rPr>
            </w:pPr>
            <w:r>
              <w:rPr>
                <w:rFonts w:hint="eastAsia" w:ascii="宋体" w:hAnsi="宋体"/>
                <w:szCs w:val="21"/>
              </w:rPr>
              <w:t>质量标准</w:t>
            </w:r>
          </w:p>
        </w:tc>
        <w:tc>
          <w:tcPr>
            <w:tcW w:w="7569" w:type="dxa"/>
          </w:tcPr>
          <w:p>
            <w:pPr>
              <w:spacing w:line="340" w:lineRule="exact"/>
              <w:rPr>
                <w:rFonts w:ascii="宋体" w:hAnsi="宋体"/>
                <w:szCs w:val="21"/>
              </w:rPr>
            </w:pPr>
            <w:r>
              <w:rPr>
                <w:rFonts w:hint="eastAsia" w:ascii="宋体" w:hAnsi="宋体"/>
                <w:szCs w:val="21"/>
              </w:rPr>
              <w:t>见材质验收标准</w:t>
            </w:r>
          </w:p>
        </w:tc>
      </w:tr>
      <w:tr>
        <w:tblPrEx>
          <w:tblBorders>
            <w:top w:val="single" w:color="000000" w:sz="24" w:space="0"/>
            <w:left w:val="single" w:color="000000" w:sz="24" w:space="0"/>
            <w:bottom w:val="single" w:color="000000" w:sz="24" w:space="0"/>
            <w:right w:val="single" w:color="000000" w:sz="24" w:space="0"/>
            <w:insideH w:val="single" w:color="000000" w:sz="6" w:space="0"/>
            <w:insideV w:val="single" w:color="000000" w:sz="6" w:space="0"/>
          </w:tblBorders>
          <w:tblLayout w:type="fixed"/>
          <w:tblCellMar>
            <w:top w:w="0" w:type="dxa"/>
            <w:left w:w="108" w:type="dxa"/>
            <w:bottom w:w="0" w:type="dxa"/>
            <w:right w:w="108" w:type="dxa"/>
          </w:tblCellMar>
        </w:tblPrEx>
        <w:trPr>
          <w:trHeight w:val="28" w:hRule="atLeast"/>
          <w:jc w:val="center"/>
        </w:trPr>
        <w:tc>
          <w:tcPr>
            <w:tcW w:w="468" w:type="dxa"/>
            <w:vAlign w:val="center"/>
          </w:tcPr>
          <w:p>
            <w:pPr>
              <w:spacing w:line="340" w:lineRule="exact"/>
              <w:jc w:val="center"/>
              <w:rPr>
                <w:rFonts w:ascii="宋体" w:hAnsi="宋体"/>
                <w:szCs w:val="21"/>
              </w:rPr>
            </w:pPr>
            <w:r>
              <w:rPr>
                <w:rFonts w:hint="eastAsia" w:ascii="宋体" w:hAnsi="宋体"/>
                <w:szCs w:val="21"/>
              </w:rPr>
              <w:t>11</w:t>
            </w:r>
          </w:p>
        </w:tc>
        <w:tc>
          <w:tcPr>
            <w:tcW w:w="1439" w:type="dxa"/>
            <w:vAlign w:val="center"/>
          </w:tcPr>
          <w:p>
            <w:pPr>
              <w:spacing w:line="340" w:lineRule="exact"/>
              <w:jc w:val="center"/>
              <w:rPr>
                <w:rFonts w:ascii="宋体" w:hAnsi="宋体"/>
                <w:szCs w:val="21"/>
              </w:rPr>
            </w:pPr>
            <w:r>
              <w:rPr>
                <w:rFonts w:hint="eastAsia" w:ascii="宋体" w:hAnsi="宋体"/>
                <w:szCs w:val="21"/>
              </w:rPr>
              <w:t>评标方法及标准</w:t>
            </w:r>
          </w:p>
        </w:tc>
        <w:tc>
          <w:tcPr>
            <w:tcW w:w="7569" w:type="dxa"/>
          </w:tcPr>
          <w:p>
            <w:pPr>
              <w:spacing w:line="340" w:lineRule="exact"/>
              <w:rPr>
                <w:rFonts w:ascii="宋体" w:hAnsi="宋体"/>
                <w:szCs w:val="21"/>
              </w:rPr>
            </w:pPr>
            <w:r>
              <w:rPr>
                <w:rFonts w:hint="eastAsia" w:ascii="宋体" w:hAnsi="宋体"/>
                <w:szCs w:val="21"/>
              </w:rPr>
              <w:t>本次谈判需要多轮报价，最后一次报价后</w:t>
            </w:r>
            <w:r>
              <w:rPr>
                <w:rFonts w:hint="eastAsia" w:ascii="宋体" w:hAnsi="宋体"/>
                <w:color w:val="0000FF"/>
                <w:szCs w:val="21"/>
              </w:rPr>
              <w:t>，</w:t>
            </w:r>
            <w:r>
              <w:rPr>
                <w:rFonts w:hint="eastAsia" w:ascii="宋体" w:hAnsi="宋体"/>
                <w:szCs w:val="21"/>
              </w:rPr>
              <w:t>谈判小组对投标人投标的价格、技术、财务状况、综合实力、信誉、业绩、服务、施工方案、实质性响应程度等进行综合评价，择优确定入围投标人</w:t>
            </w:r>
            <w:r>
              <w:rPr>
                <w:rFonts w:hint="eastAsia" w:ascii="宋体" w:hAnsi="宋体"/>
                <w:color w:val="0000FF"/>
                <w:szCs w:val="21"/>
              </w:rPr>
              <w:t>。</w:t>
            </w:r>
          </w:p>
        </w:tc>
      </w:tr>
      <w:tr>
        <w:tblPrEx>
          <w:tblBorders>
            <w:top w:val="single" w:color="000000" w:sz="24" w:space="0"/>
            <w:left w:val="single" w:color="000000" w:sz="24" w:space="0"/>
            <w:bottom w:val="single" w:color="000000" w:sz="24" w:space="0"/>
            <w:right w:val="single" w:color="000000" w:sz="24" w:space="0"/>
            <w:insideH w:val="single" w:color="000000" w:sz="6" w:space="0"/>
            <w:insideV w:val="single" w:color="000000" w:sz="6" w:space="0"/>
          </w:tblBorders>
          <w:tblLayout w:type="fixed"/>
          <w:tblCellMar>
            <w:top w:w="0" w:type="dxa"/>
            <w:left w:w="108" w:type="dxa"/>
            <w:bottom w:w="0" w:type="dxa"/>
            <w:right w:w="108" w:type="dxa"/>
          </w:tblCellMar>
        </w:tblPrEx>
        <w:trPr>
          <w:trHeight w:val="28" w:hRule="atLeast"/>
          <w:jc w:val="center"/>
        </w:trPr>
        <w:tc>
          <w:tcPr>
            <w:tcW w:w="468" w:type="dxa"/>
            <w:vAlign w:val="center"/>
          </w:tcPr>
          <w:p>
            <w:pPr>
              <w:spacing w:line="340" w:lineRule="exact"/>
              <w:jc w:val="center"/>
              <w:rPr>
                <w:rFonts w:ascii="宋体" w:hAnsi="宋体"/>
                <w:szCs w:val="21"/>
              </w:rPr>
            </w:pPr>
            <w:r>
              <w:rPr>
                <w:rFonts w:hint="eastAsia" w:ascii="宋体" w:hAnsi="宋体"/>
                <w:szCs w:val="21"/>
              </w:rPr>
              <w:t>12</w:t>
            </w:r>
          </w:p>
        </w:tc>
        <w:tc>
          <w:tcPr>
            <w:tcW w:w="1439" w:type="dxa"/>
            <w:vAlign w:val="center"/>
          </w:tcPr>
          <w:p>
            <w:pPr>
              <w:spacing w:line="340" w:lineRule="exact"/>
              <w:jc w:val="center"/>
              <w:rPr>
                <w:rFonts w:ascii="宋体" w:hAnsi="宋体"/>
                <w:szCs w:val="21"/>
              </w:rPr>
            </w:pPr>
            <w:r>
              <w:rPr>
                <w:rFonts w:hint="eastAsia" w:ascii="宋体" w:hAnsi="宋体"/>
                <w:szCs w:val="21"/>
              </w:rPr>
              <w:t>合同签定</w:t>
            </w:r>
          </w:p>
          <w:p>
            <w:pPr>
              <w:spacing w:line="340" w:lineRule="exact"/>
              <w:jc w:val="center"/>
              <w:rPr>
                <w:rFonts w:ascii="宋体" w:hAnsi="宋体"/>
                <w:szCs w:val="21"/>
              </w:rPr>
            </w:pPr>
            <w:r>
              <w:rPr>
                <w:rFonts w:hint="eastAsia" w:ascii="宋体" w:hAnsi="宋体"/>
                <w:szCs w:val="21"/>
              </w:rPr>
              <w:t>地点</w:t>
            </w:r>
          </w:p>
        </w:tc>
        <w:tc>
          <w:tcPr>
            <w:tcW w:w="7569" w:type="dxa"/>
            <w:vAlign w:val="center"/>
          </w:tcPr>
          <w:p>
            <w:pPr>
              <w:spacing w:line="340" w:lineRule="exact"/>
              <w:rPr>
                <w:rFonts w:ascii="宋体" w:hAnsi="宋体"/>
                <w:szCs w:val="21"/>
              </w:rPr>
            </w:pPr>
            <w:r>
              <w:rPr>
                <w:rFonts w:hint="eastAsia" w:ascii="宋体" w:hAnsi="宋体"/>
                <w:szCs w:val="21"/>
              </w:rPr>
              <w:t>见成交通知书</w:t>
            </w:r>
          </w:p>
        </w:tc>
      </w:tr>
    </w:tbl>
    <w:p>
      <w:pPr>
        <w:jc w:val="center"/>
        <w:rPr>
          <w:b/>
          <w:sz w:val="36"/>
          <w:szCs w:val="36"/>
        </w:rPr>
      </w:pPr>
    </w:p>
    <w:p>
      <w:pPr>
        <w:jc w:val="center"/>
        <w:rPr>
          <w:b/>
          <w:sz w:val="36"/>
          <w:szCs w:val="36"/>
        </w:rPr>
      </w:pPr>
    </w:p>
    <w:p>
      <w:pPr>
        <w:jc w:val="center"/>
        <w:rPr>
          <w:b/>
          <w:sz w:val="36"/>
          <w:szCs w:val="36"/>
        </w:rPr>
      </w:pPr>
    </w:p>
    <w:p>
      <w:pPr>
        <w:jc w:val="center"/>
        <w:rPr>
          <w:b/>
          <w:sz w:val="36"/>
          <w:szCs w:val="36"/>
        </w:rPr>
      </w:pPr>
    </w:p>
    <w:p>
      <w:pPr>
        <w:jc w:val="center"/>
        <w:rPr>
          <w:b/>
          <w:sz w:val="36"/>
          <w:szCs w:val="36"/>
        </w:rPr>
      </w:pPr>
      <w:r>
        <w:rPr>
          <w:rFonts w:hint="eastAsia"/>
          <w:b/>
          <w:sz w:val="36"/>
          <w:szCs w:val="36"/>
        </w:rPr>
        <w:t>第一部份 响应供应商须知</w:t>
      </w:r>
    </w:p>
    <w:p>
      <w:pPr>
        <w:jc w:val="center"/>
        <w:rPr>
          <w:rFonts w:ascii="宋体" w:hAnsi="宋体"/>
          <w:b/>
          <w:sz w:val="32"/>
          <w:szCs w:val="32"/>
        </w:rPr>
      </w:pPr>
      <w:r>
        <w:rPr>
          <w:rFonts w:hint="eastAsia" w:ascii="宋体" w:hAnsi="宋体"/>
          <w:b/>
          <w:sz w:val="32"/>
          <w:szCs w:val="32"/>
        </w:rPr>
        <w:t>Ａ</w:t>
      </w:r>
      <w:r>
        <w:rPr>
          <w:rFonts w:ascii="宋体" w:hAnsi="宋体"/>
          <w:b/>
          <w:sz w:val="32"/>
          <w:szCs w:val="32"/>
        </w:rPr>
        <w:t xml:space="preserve">  </w:t>
      </w:r>
      <w:r>
        <w:rPr>
          <w:rFonts w:hint="eastAsia" w:ascii="宋体" w:hAnsi="宋体"/>
          <w:b/>
          <w:sz w:val="32"/>
          <w:szCs w:val="32"/>
        </w:rPr>
        <w:t>说</w:t>
      </w:r>
      <w:r>
        <w:rPr>
          <w:rFonts w:ascii="宋体" w:hAnsi="宋体"/>
          <w:b/>
          <w:sz w:val="32"/>
          <w:szCs w:val="32"/>
        </w:rPr>
        <w:t xml:space="preserve">  </w:t>
      </w:r>
      <w:r>
        <w:rPr>
          <w:rFonts w:hint="eastAsia" w:ascii="宋体" w:hAnsi="宋体"/>
          <w:b/>
          <w:sz w:val="32"/>
          <w:szCs w:val="32"/>
        </w:rPr>
        <w:t>明</w:t>
      </w:r>
    </w:p>
    <w:p>
      <w:pPr>
        <w:pStyle w:val="5"/>
        <w:ind w:left="227"/>
        <w:jc w:val="center"/>
        <w:rPr>
          <w:sz w:val="24"/>
          <w:szCs w:val="24"/>
        </w:rPr>
      </w:pPr>
      <w:r>
        <w:rPr>
          <w:rFonts w:hint="eastAsia"/>
        </w:rPr>
        <w:t>项目需求及说明</w:t>
      </w:r>
    </w:p>
    <w:p>
      <w:pPr>
        <w:pStyle w:val="5"/>
        <w:tabs>
          <w:tab w:val="left" w:pos="540"/>
        </w:tabs>
        <w:snapToGrid w:val="0"/>
        <w:spacing w:before="0" w:after="0" w:line="580" w:lineRule="exact"/>
        <w:ind w:firstLine="482" w:firstLineChars="200"/>
        <w:rPr>
          <w:rFonts w:hAnsi="Courier New"/>
          <w:kern w:val="2"/>
          <w:sz w:val="21"/>
        </w:rPr>
      </w:pPr>
      <w:r>
        <w:rPr>
          <w:rFonts w:hint="eastAsia"/>
          <w:sz w:val="24"/>
        </w:rPr>
        <w:t>范    围</w:t>
      </w:r>
      <w:r>
        <w:rPr>
          <w:rFonts w:hint="eastAsia"/>
          <w:b w:val="0"/>
          <w:bCs/>
          <w:sz w:val="24"/>
        </w:rPr>
        <w:t>：</w:t>
      </w:r>
      <w:r>
        <w:rPr>
          <w:rFonts w:hint="eastAsia" w:hAnsi="Courier New"/>
          <w:kern w:val="2"/>
          <w:sz w:val="21"/>
        </w:rPr>
        <w:t>恩施大峡谷旅游开发有限公司2019年度龙船调实景演出设备定点采购项目</w:t>
      </w:r>
    </w:p>
    <w:p>
      <w:pPr>
        <w:pStyle w:val="5"/>
        <w:tabs>
          <w:tab w:val="left" w:pos="540"/>
        </w:tabs>
        <w:snapToGrid w:val="0"/>
        <w:spacing w:before="0" w:after="0" w:line="580" w:lineRule="exact"/>
        <w:ind w:firstLine="482" w:firstLineChars="200"/>
        <w:rPr>
          <w:sz w:val="24"/>
        </w:rPr>
      </w:pPr>
      <w:r>
        <w:rPr>
          <w:rFonts w:hint="eastAsia"/>
          <w:sz w:val="24"/>
        </w:rPr>
        <w:t>主要内容</w:t>
      </w:r>
      <w:r>
        <w:rPr>
          <w:rFonts w:hint="eastAsia"/>
        </w:rPr>
        <w:t>：</w:t>
      </w:r>
      <w:r>
        <w:rPr>
          <w:rFonts w:hint="eastAsia" w:ascii="Times New Roman"/>
          <w:b w:val="0"/>
          <w:kern w:val="2"/>
          <w:sz w:val="21"/>
          <w:szCs w:val="24"/>
        </w:rPr>
        <w:t>恩施大峡谷旅游开发有限公司2019年度龙船调实景演出设备定点供应商项目谈判文件</w:t>
      </w:r>
    </w:p>
    <w:p>
      <w:pPr>
        <w:spacing w:line="580" w:lineRule="exact"/>
        <w:ind w:firstLine="482" w:firstLineChars="200"/>
      </w:pPr>
      <w:r>
        <w:rPr>
          <w:rFonts w:hint="eastAsia" w:ascii="宋体"/>
          <w:b/>
          <w:kern w:val="0"/>
          <w:sz w:val="24"/>
          <w:szCs w:val="20"/>
        </w:rPr>
        <w:t>采购要求</w:t>
      </w:r>
      <w:r>
        <w:rPr>
          <w:rFonts w:hint="eastAsia" w:ascii="宋体"/>
          <w:bCs/>
          <w:kern w:val="0"/>
          <w:sz w:val="24"/>
          <w:szCs w:val="20"/>
        </w:rPr>
        <w:t>:（见后）</w:t>
      </w:r>
    </w:p>
    <w:p>
      <w:pPr>
        <w:ind w:left="1202" w:leftChars="228" w:hanging="723" w:hangingChars="300"/>
        <w:rPr>
          <w:sz w:val="24"/>
        </w:rPr>
      </w:pPr>
      <w:r>
        <w:rPr>
          <w:rFonts w:hint="eastAsia"/>
          <w:b/>
          <w:bCs/>
          <w:sz w:val="24"/>
        </w:rPr>
        <w:t>付款：</w:t>
      </w:r>
      <w:r>
        <w:rPr>
          <w:rFonts w:hint="eastAsia"/>
          <w:sz w:val="24"/>
        </w:rPr>
        <w:t>货款实行月结，具体以每月采购量为准。</w:t>
      </w:r>
    </w:p>
    <w:p>
      <w:pPr>
        <w:pStyle w:val="5"/>
        <w:numPr>
          <w:ilvl w:val="0"/>
          <w:numId w:val="2"/>
        </w:numPr>
        <w:spacing w:before="140" w:after="140" w:line="360" w:lineRule="auto"/>
        <w:rPr>
          <w:sz w:val="30"/>
        </w:rPr>
      </w:pPr>
      <w:r>
        <w:rPr>
          <w:rFonts w:hint="eastAsia"/>
          <w:sz w:val="30"/>
        </w:rPr>
        <w:t>合格的响应供应商</w:t>
      </w:r>
    </w:p>
    <w:p>
      <w:pPr>
        <w:numPr>
          <w:ilvl w:val="1"/>
          <w:numId w:val="2"/>
        </w:numPr>
        <w:spacing w:line="360" w:lineRule="auto"/>
        <w:rPr>
          <w:rFonts w:ascii="宋体" w:hAnsi="宋体"/>
          <w:sz w:val="24"/>
        </w:rPr>
      </w:pPr>
      <w:r>
        <w:rPr>
          <w:rFonts w:hint="eastAsia" w:ascii="宋体" w:hAnsi="宋体"/>
          <w:sz w:val="24"/>
        </w:rPr>
        <w:t>合格的响应供应商应同时符合以下基本条件：</w:t>
      </w:r>
    </w:p>
    <w:p>
      <w:pPr>
        <w:spacing w:line="360" w:lineRule="auto"/>
        <w:ind w:left="284" w:firstLine="240" w:firstLineChars="100"/>
        <w:rPr>
          <w:rFonts w:ascii="宋体" w:hAnsi="宋体"/>
          <w:sz w:val="24"/>
        </w:rPr>
      </w:pPr>
      <w:r>
        <w:rPr>
          <w:rFonts w:hint="eastAsia" w:ascii="宋体" w:hAnsi="宋体"/>
          <w:sz w:val="24"/>
        </w:rPr>
        <w:t>（一）具有独立承担民事责任的能力；（提供有效的营业执照副本原件）</w:t>
      </w:r>
    </w:p>
    <w:p>
      <w:pPr>
        <w:spacing w:line="360" w:lineRule="auto"/>
        <w:ind w:left="284" w:firstLine="240" w:firstLineChars="100"/>
        <w:rPr>
          <w:rFonts w:ascii="宋体" w:hAnsi="宋体"/>
          <w:sz w:val="24"/>
        </w:rPr>
      </w:pPr>
      <w:r>
        <w:rPr>
          <w:rFonts w:hint="eastAsia" w:ascii="宋体" w:hAnsi="宋体"/>
          <w:sz w:val="24"/>
        </w:rPr>
        <w:t>（二）具有良好的商业信誉和健全的财务会计制度；</w:t>
      </w:r>
    </w:p>
    <w:p>
      <w:pPr>
        <w:spacing w:line="360" w:lineRule="auto"/>
        <w:ind w:firstLine="480" w:firstLineChars="200"/>
        <w:rPr>
          <w:rFonts w:ascii="宋体" w:hAnsi="宋体"/>
          <w:sz w:val="24"/>
        </w:rPr>
      </w:pPr>
      <w:r>
        <w:rPr>
          <w:rFonts w:hint="eastAsia" w:ascii="宋体" w:hAnsi="宋体"/>
          <w:sz w:val="24"/>
        </w:rPr>
        <w:t>（三）具有履行合同所必需的设备和专业技术能力；（提供承诺函，格式自拟）</w:t>
      </w:r>
    </w:p>
    <w:p>
      <w:pPr>
        <w:widowControl/>
        <w:adjustRightInd w:val="0"/>
        <w:snapToGrid w:val="0"/>
        <w:spacing w:line="360" w:lineRule="auto"/>
        <w:ind w:firstLine="480" w:firstLineChars="200"/>
        <w:jc w:val="left"/>
        <w:rPr>
          <w:rFonts w:hint="eastAsia" w:ascii="宋体" w:hAnsi="宋体"/>
          <w:sz w:val="24"/>
        </w:rPr>
      </w:pPr>
      <w:r>
        <w:rPr>
          <w:rFonts w:hint="eastAsia" w:ascii="宋体" w:hAnsi="宋体"/>
          <w:sz w:val="24"/>
        </w:rPr>
        <w:t>（四）有依法交纳税收和社会保障资金的能力及良好记录；（提供近三个月的完税证明及社保缴纳证明</w:t>
      </w:r>
    </w:p>
    <w:p>
      <w:pPr>
        <w:widowControl/>
        <w:adjustRightInd w:val="0"/>
        <w:snapToGrid w:val="0"/>
        <w:spacing w:line="360" w:lineRule="auto"/>
        <w:ind w:firstLine="480" w:firstLineChars="200"/>
        <w:jc w:val="left"/>
        <w:rPr>
          <w:rFonts w:hint="eastAsia" w:ascii="宋体" w:hAnsi="宋体"/>
          <w:sz w:val="24"/>
        </w:rPr>
      </w:pPr>
      <w:r>
        <w:rPr>
          <w:rFonts w:hint="eastAsia" w:ascii="宋体" w:hAnsi="宋体"/>
          <w:sz w:val="24"/>
          <w:lang w:eastAsia="zh-CN"/>
        </w:rPr>
        <w:t>（五）</w:t>
      </w:r>
      <w:r>
        <w:rPr>
          <w:rFonts w:hint="eastAsia" w:ascii="宋体" w:hAnsi="宋体"/>
          <w:sz w:val="24"/>
        </w:rPr>
        <w:t>、参加采购投标前三年内，在经营活动中没有重大违法记录及设备安全责任事故；</w:t>
      </w:r>
    </w:p>
    <w:p>
      <w:pPr>
        <w:widowControl/>
        <w:adjustRightInd w:val="0"/>
        <w:snapToGrid w:val="0"/>
        <w:spacing w:line="360" w:lineRule="auto"/>
        <w:ind w:firstLine="480" w:firstLineChars="200"/>
        <w:jc w:val="left"/>
        <w:rPr>
          <w:rFonts w:hint="eastAsia" w:ascii="宋体" w:hAnsi="宋体"/>
          <w:sz w:val="24"/>
        </w:rPr>
      </w:pPr>
      <w:r>
        <w:rPr>
          <w:rFonts w:hint="eastAsia" w:ascii="宋体" w:hAnsi="宋体"/>
          <w:sz w:val="24"/>
          <w:lang w:eastAsia="zh-CN"/>
        </w:rPr>
        <w:t>（六）</w:t>
      </w:r>
      <w:r>
        <w:rPr>
          <w:rFonts w:hint="eastAsia" w:ascii="宋体" w:hAnsi="宋体"/>
          <w:sz w:val="24"/>
        </w:rPr>
        <w:t>、法律、行政法规规定的其他条件；</w:t>
      </w:r>
    </w:p>
    <w:p>
      <w:pPr>
        <w:widowControl/>
        <w:adjustRightInd w:val="0"/>
        <w:snapToGrid w:val="0"/>
        <w:spacing w:line="360" w:lineRule="auto"/>
        <w:ind w:firstLine="480" w:firstLineChars="200"/>
        <w:jc w:val="left"/>
        <w:rPr>
          <w:rFonts w:hint="eastAsia" w:ascii="宋体" w:hAnsi="宋体"/>
          <w:sz w:val="24"/>
        </w:rPr>
      </w:pPr>
      <w:r>
        <w:rPr>
          <w:rFonts w:hint="eastAsia" w:ascii="宋体" w:hAnsi="宋体"/>
          <w:sz w:val="24"/>
          <w:lang w:eastAsia="zh-CN"/>
        </w:rPr>
        <w:t>（七）</w:t>
      </w:r>
      <w:r>
        <w:rPr>
          <w:rFonts w:hint="eastAsia" w:ascii="宋体" w:hAnsi="宋体"/>
          <w:sz w:val="24"/>
        </w:rPr>
        <w:t>、供应商在人员、设备、资金等方面具备相应的施工能力且有类似工程业绩;</w:t>
      </w:r>
    </w:p>
    <w:p>
      <w:pPr>
        <w:widowControl/>
        <w:adjustRightInd w:val="0"/>
        <w:snapToGrid w:val="0"/>
        <w:spacing w:line="360" w:lineRule="auto"/>
        <w:ind w:firstLine="480" w:firstLineChars="200"/>
        <w:jc w:val="left"/>
        <w:rPr>
          <w:rFonts w:hint="eastAsia" w:ascii="宋体" w:hAnsi="宋体"/>
          <w:sz w:val="24"/>
        </w:rPr>
      </w:pPr>
      <w:r>
        <w:rPr>
          <w:rFonts w:hint="eastAsia" w:ascii="宋体" w:hAnsi="宋体"/>
          <w:sz w:val="24"/>
          <w:lang w:eastAsia="zh-CN"/>
        </w:rPr>
        <w:t>（八）</w:t>
      </w:r>
      <w:r>
        <w:rPr>
          <w:rFonts w:hint="eastAsia" w:ascii="宋体" w:hAnsi="宋体"/>
          <w:sz w:val="24"/>
        </w:rPr>
        <w:t>、本项目不接受联合体参与谈判。</w:t>
      </w:r>
    </w:p>
    <w:p>
      <w:pPr>
        <w:widowControl/>
        <w:adjustRightInd w:val="0"/>
        <w:snapToGrid w:val="0"/>
        <w:spacing w:line="360" w:lineRule="auto"/>
        <w:ind w:firstLine="480" w:firstLineChars="200"/>
        <w:jc w:val="left"/>
        <w:rPr>
          <w:rFonts w:hint="eastAsia" w:ascii="宋体" w:hAnsi="宋体"/>
          <w:sz w:val="24"/>
        </w:rPr>
      </w:pPr>
      <w:r>
        <w:rPr>
          <w:rFonts w:hint="eastAsia" w:ascii="宋体" w:hAnsi="宋体"/>
          <w:sz w:val="24"/>
          <w:lang w:eastAsia="zh-CN"/>
        </w:rPr>
        <w:t>（九）</w:t>
      </w:r>
      <w:r>
        <w:rPr>
          <w:rFonts w:hint="eastAsia" w:ascii="宋体" w:hAnsi="宋体"/>
          <w:sz w:val="24"/>
        </w:rPr>
        <w:t>、达到或超过原有设备配件及成品质量品质</w:t>
      </w:r>
    </w:p>
    <w:p>
      <w:pPr>
        <w:spacing w:line="360" w:lineRule="auto"/>
        <w:ind w:firstLine="482" w:firstLineChars="200"/>
        <w:rPr>
          <w:rFonts w:ascii="黑体" w:hAnsi="宋体" w:eastAsia="黑体"/>
          <w:b/>
          <w:sz w:val="24"/>
        </w:rPr>
      </w:pPr>
      <w:r>
        <w:rPr>
          <w:rFonts w:hint="eastAsia" w:ascii="黑体" w:hAnsi="宋体" w:eastAsia="黑体"/>
          <w:b/>
          <w:sz w:val="24"/>
        </w:rPr>
        <w:t>注：不符合上述要求的投标人,其投标资格将被自动取消。</w:t>
      </w:r>
    </w:p>
    <w:p>
      <w:pPr>
        <w:spacing w:line="360" w:lineRule="auto"/>
        <w:ind w:firstLine="1205" w:firstLineChars="500"/>
        <w:rPr>
          <w:rFonts w:ascii="黑体" w:hAnsi="宋体" w:eastAsia="黑体"/>
          <w:b/>
          <w:sz w:val="24"/>
        </w:rPr>
      </w:pPr>
      <w:r>
        <w:rPr>
          <w:rFonts w:hint="eastAsia" w:ascii="黑体" w:hAnsi="宋体" w:eastAsia="黑体"/>
          <w:b/>
          <w:sz w:val="24"/>
        </w:rPr>
        <w:t>投标人一旦中标，不得转包。</w:t>
      </w:r>
    </w:p>
    <w:p>
      <w:pPr>
        <w:pStyle w:val="5"/>
        <w:numPr>
          <w:ilvl w:val="0"/>
          <w:numId w:val="2"/>
        </w:numPr>
        <w:spacing w:before="140" w:after="140" w:line="360" w:lineRule="auto"/>
        <w:rPr>
          <w:sz w:val="30"/>
        </w:rPr>
      </w:pPr>
      <w:r>
        <w:rPr>
          <w:rFonts w:hint="eastAsia"/>
          <w:sz w:val="30"/>
        </w:rPr>
        <w:t>投标费用的承担</w:t>
      </w:r>
    </w:p>
    <w:p>
      <w:pPr>
        <w:pStyle w:val="7"/>
        <w:numPr>
          <w:ilvl w:val="1"/>
          <w:numId w:val="2"/>
        </w:numPr>
        <w:rPr>
          <w:rFonts w:ascii="宋体" w:hAnsi="宋体" w:eastAsia="宋体"/>
          <w:sz w:val="24"/>
          <w:szCs w:val="24"/>
        </w:rPr>
      </w:pPr>
      <w:r>
        <w:rPr>
          <w:rFonts w:hint="eastAsia" w:ascii="宋体" w:hAnsi="宋体" w:eastAsia="宋体"/>
          <w:sz w:val="24"/>
          <w:szCs w:val="24"/>
        </w:rPr>
        <w:t>投标人自行承担参加投标的有关全部费用。</w:t>
      </w:r>
    </w:p>
    <w:p>
      <w:pPr>
        <w:pStyle w:val="3"/>
        <w:spacing w:line="360" w:lineRule="auto"/>
        <w:jc w:val="center"/>
        <w:rPr>
          <w:rFonts w:ascii="宋体" w:hAnsi="宋体" w:eastAsia="宋体"/>
        </w:rPr>
      </w:pPr>
      <w:r>
        <w:rPr>
          <w:rFonts w:hint="eastAsia" w:ascii="宋体" w:hAnsi="宋体" w:eastAsia="宋体"/>
        </w:rPr>
        <w:t>Ｂ　谈判文件说明</w:t>
      </w:r>
    </w:p>
    <w:p>
      <w:pPr>
        <w:pStyle w:val="5"/>
        <w:numPr>
          <w:ilvl w:val="0"/>
          <w:numId w:val="2"/>
        </w:numPr>
        <w:spacing w:before="140" w:after="140" w:line="360" w:lineRule="auto"/>
        <w:rPr>
          <w:rFonts w:hAnsi="宋体"/>
          <w:sz w:val="30"/>
        </w:rPr>
      </w:pPr>
      <w:r>
        <w:rPr>
          <w:rFonts w:hint="eastAsia" w:hAnsi="宋体"/>
        </w:rPr>
        <w:t>谈判</w:t>
      </w:r>
      <w:r>
        <w:rPr>
          <w:rFonts w:hint="eastAsia" w:hAnsi="宋体"/>
          <w:sz w:val="30"/>
        </w:rPr>
        <w:t>文件构成</w:t>
      </w:r>
    </w:p>
    <w:p>
      <w:pPr>
        <w:numPr>
          <w:ilvl w:val="1"/>
          <w:numId w:val="2"/>
        </w:numPr>
        <w:ind w:hanging="794"/>
        <w:rPr>
          <w:rFonts w:ascii="宋体" w:hAnsi="宋体"/>
          <w:sz w:val="24"/>
        </w:rPr>
      </w:pPr>
      <w:r>
        <w:rPr>
          <w:rFonts w:hint="eastAsia" w:ascii="宋体" w:hAnsi="宋体"/>
          <w:sz w:val="24"/>
        </w:rPr>
        <w:t>谈判文件由下述四部分组成：</w:t>
      </w:r>
    </w:p>
    <w:p>
      <w:pPr>
        <w:tabs>
          <w:tab w:val="left" w:pos="945"/>
        </w:tabs>
        <w:spacing w:before="120" w:line="360" w:lineRule="auto"/>
        <w:ind w:left="540"/>
        <w:rPr>
          <w:rFonts w:ascii="宋体" w:hAnsi="宋体"/>
          <w:sz w:val="24"/>
        </w:rPr>
      </w:pPr>
      <w:r>
        <w:rPr>
          <w:rFonts w:hint="eastAsia" w:ascii="宋体" w:hAnsi="宋体"/>
          <w:sz w:val="24"/>
        </w:rPr>
        <w:t>(1) 谈判邀请函；</w:t>
      </w:r>
    </w:p>
    <w:p>
      <w:pPr>
        <w:tabs>
          <w:tab w:val="left" w:pos="945"/>
        </w:tabs>
        <w:spacing w:line="360" w:lineRule="auto"/>
        <w:ind w:left="540"/>
        <w:rPr>
          <w:rFonts w:ascii="宋体" w:hAnsi="宋体"/>
          <w:sz w:val="24"/>
        </w:rPr>
      </w:pPr>
      <w:r>
        <w:rPr>
          <w:rFonts w:hint="eastAsia" w:ascii="宋体" w:hAnsi="宋体"/>
          <w:sz w:val="24"/>
        </w:rPr>
        <w:t>(2) 谈判须知前附表；</w:t>
      </w:r>
    </w:p>
    <w:p>
      <w:pPr>
        <w:tabs>
          <w:tab w:val="left" w:pos="945"/>
        </w:tabs>
        <w:spacing w:line="360" w:lineRule="auto"/>
        <w:ind w:left="540"/>
        <w:rPr>
          <w:rFonts w:ascii="宋体" w:hAnsi="宋体"/>
          <w:sz w:val="24"/>
        </w:rPr>
      </w:pPr>
      <w:r>
        <w:rPr>
          <w:rFonts w:hint="eastAsia" w:ascii="宋体" w:hAnsi="宋体"/>
          <w:sz w:val="24"/>
        </w:rPr>
        <w:t>(2) 响应供应商须知；</w:t>
      </w:r>
    </w:p>
    <w:p>
      <w:pPr>
        <w:tabs>
          <w:tab w:val="left" w:pos="1004"/>
        </w:tabs>
        <w:spacing w:line="360" w:lineRule="auto"/>
        <w:ind w:left="540"/>
        <w:rPr>
          <w:rFonts w:ascii="宋体" w:hAnsi="宋体"/>
          <w:sz w:val="24"/>
        </w:rPr>
      </w:pPr>
      <w:r>
        <w:rPr>
          <w:rFonts w:hint="eastAsia" w:ascii="宋体" w:hAnsi="宋体"/>
          <w:sz w:val="24"/>
        </w:rPr>
        <w:t>(3) 谈判响应文件格式（样式）；</w:t>
      </w:r>
    </w:p>
    <w:p>
      <w:pPr>
        <w:spacing w:line="360" w:lineRule="auto"/>
        <w:ind w:firstLine="540" w:firstLineChars="225"/>
        <w:rPr>
          <w:rFonts w:ascii="宋体" w:hAnsi="宋体"/>
          <w:sz w:val="24"/>
        </w:rPr>
      </w:pPr>
      <w:r>
        <w:rPr>
          <w:rFonts w:hint="eastAsia" w:ascii="宋体" w:hAnsi="宋体"/>
          <w:sz w:val="24"/>
        </w:rPr>
        <w:t>(4) 谈判项目要求。</w:t>
      </w:r>
    </w:p>
    <w:p>
      <w:pPr>
        <w:spacing w:line="360" w:lineRule="auto"/>
        <w:ind w:firstLine="540" w:firstLineChars="225"/>
        <w:rPr>
          <w:rFonts w:ascii="宋体" w:hAnsi="宋体"/>
          <w:b/>
          <w:color w:val="000000"/>
          <w:sz w:val="24"/>
        </w:rPr>
      </w:pPr>
      <w:r>
        <w:rPr>
          <w:rFonts w:hint="eastAsia" w:ascii="宋体" w:hAnsi="宋体"/>
          <w:sz w:val="24"/>
        </w:rPr>
        <w:t>(5) 附件：工作量清单。</w:t>
      </w:r>
    </w:p>
    <w:p>
      <w:pPr>
        <w:pStyle w:val="5"/>
        <w:numPr>
          <w:ilvl w:val="0"/>
          <w:numId w:val="2"/>
        </w:numPr>
        <w:spacing w:before="140" w:after="140" w:line="360" w:lineRule="auto"/>
        <w:rPr>
          <w:rFonts w:hAnsi="宋体"/>
          <w:bCs/>
          <w:sz w:val="30"/>
        </w:rPr>
      </w:pPr>
      <w:r>
        <w:rPr>
          <w:rFonts w:hint="eastAsia" w:hAnsi="宋体"/>
          <w:bCs/>
          <w:sz w:val="30"/>
        </w:rPr>
        <w:t xml:space="preserve"> </w:t>
      </w:r>
      <w:r>
        <w:rPr>
          <w:rFonts w:hint="eastAsia" w:hAnsi="宋体"/>
        </w:rPr>
        <w:t>谈判</w:t>
      </w:r>
      <w:r>
        <w:rPr>
          <w:rFonts w:hAnsi="宋体"/>
          <w:bCs/>
          <w:color w:val="000000"/>
          <w:sz w:val="30"/>
        </w:rPr>
        <w:t>文件的澄清</w:t>
      </w:r>
      <w:r>
        <w:rPr>
          <w:rFonts w:hint="eastAsia" w:hAnsi="宋体"/>
          <w:bCs/>
          <w:color w:val="000000"/>
          <w:sz w:val="30"/>
        </w:rPr>
        <w:t>与解释</w:t>
      </w:r>
      <w:r>
        <w:rPr>
          <w:rFonts w:hint="eastAsia" w:hAnsi="宋体"/>
          <w:bCs/>
          <w:sz w:val="30"/>
        </w:rPr>
        <w:t xml:space="preserve">                                </w:t>
      </w:r>
    </w:p>
    <w:p>
      <w:pPr>
        <w:spacing w:line="360" w:lineRule="auto"/>
        <w:ind w:left="958" w:leftChars="172" w:hanging="597" w:hangingChars="249"/>
        <w:rPr>
          <w:rFonts w:ascii="宋体" w:hAnsi="宋体"/>
          <w:color w:val="000000"/>
          <w:sz w:val="24"/>
        </w:rPr>
      </w:pPr>
      <w:r>
        <w:rPr>
          <w:rFonts w:hint="eastAsia" w:ascii="宋体" w:hAnsi="宋体"/>
          <w:color w:val="000000"/>
          <w:sz w:val="24"/>
        </w:rPr>
        <w:t>4</w:t>
      </w:r>
      <w:r>
        <w:rPr>
          <w:rFonts w:ascii="宋体" w:hAnsi="宋体"/>
          <w:color w:val="000000"/>
          <w:sz w:val="24"/>
        </w:rPr>
        <w:t>.1</w:t>
      </w:r>
      <w:r>
        <w:rPr>
          <w:rFonts w:hint="eastAsia" w:ascii="宋体" w:hAnsi="宋体"/>
          <w:color w:val="000000"/>
          <w:sz w:val="24"/>
        </w:rPr>
        <w:t>. 响应供应商在收到</w:t>
      </w:r>
      <w:r>
        <w:rPr>
          <w:rFonts w:hint="eastAsia" w:ascii="宋体" w:hAnsi="宋体"/>
          <w:sz w:val="24"/>
        </w:rPr>
        <w:t>谈判</w:t>
      </w:r>
      <w:r>
        <w:rPr>
          <w:rFonts w:hint="eastAsia" w:ascii="宋体" w:hAnsi="宋体"/>
          <w:color w:val="000000"/>
          <w:sz w:val="24"/>
        </w:rPr>
        <w:t>文件后，若有问题需要澄清，应于收到</w:t>
      </w:r>
      <w:r>
        <w:rPr>
          <w:rFonts w:hint="eastAsia" w:ascii="宋体" w:hAnsi="宋体"/>
          <w:sz w:val="24"/>
        </w:rPr>
        <w:t>谈判</w:t>
      </w:r>
      <w:r>
        <w:rPr>
          <w:rFonts w:hint="eastAsia" w:ascii="宋体" w:hAnsi="宋体"/>
          <w:color w:val="000000"/>
          <w:sz w:val="24"/>
        </w:rPr>
        <w:t>文件后，在谈判文件规定的时间内以书面形式（包括书面文字、传真等加盖单位公章，下同）向恩施大峡谷旅游开发有限公司采购中心提出，恩施大峡谷旅游开发有限公司采购中心将以书面形式予以解答（包括对询问的解释，但不说明询问的来源），并发送给所有获得</w:t>
      </w:r>
      <w:r>
        <w:rPr>
          <w:rFonts w:hint="eastAsia" w:ascii="宋体" w:hAnsi="宋体"/>
          <w:sz w:val="24"/>
        </w:rPr>
        <w:t>谈判</w:t>
      </w:r>
      <w:r>
        <w:rPr>
          <w:rFonts w:hint="eastAsia" w:ascii="宋体" w:hAnsi="宋体"/>
          <w:color w:val="000000"/>
          <w:sz w:val="24"/>
        </w:rPr>
        <w:t>文件的投标人。</w:t>
      </w:r>
    </w:p>
    <w:p>
      <w:pPr>
        <w:spacing w:line="360" w:lineRule="auto"/>
        <w:ind w:left="958" w:leftChars="172" w:hanging="597" w:hangingChars="249"/>
        <w:rPr>
          <w:rFonts w:ascii="宋体" w:hAnsi="宋体"/>
          <w:sz w:val="24"/>
        </w:rPr>
      </w:pPr>
      <w:r>
        <w:rPr>
          <w:rFonts w:hint="eastAsia" w:ascii="宋体" w:hAnsi="宋体"/>
          <w:color w:val="000000"/>
          <w:sz w:val="24"/>
        </w:rPr>
        <w:t>4.2. 响应供应商收到</w:t>
      </w:r>
      <w:r>
        <w:rPr>
          <w:rFonts w:hint="eastAsia" w:ascii="宋体" w:hAnsi="宋体"/>
          <w:sz w:val="24"/>
        </w:rPr>
        <w:t>谈判</w:t>
      </w:r>
      <w:r>
        <w:rPr>
          <w:rFonts w:hint="eastAsia" w:ascii="宋体" w:hAnsi="宋体"/>
          <w:color w:val="000000"/>
          <w:sz w:val="24"/>
        </w:rPr>
        <w:t>文件时，应检查页数与附件数量。投标人发现任何页数或数量的遗缺，任何数字或词汇模糊不清、任何词义含混不清，应书面告知补全或澄清，如果投标人不按上述要求提出更正和澄清而造成不良后果，由响应供应商自行承担责任。</w:t>
      </w:r>
    </w:p>
    <w:p>
      <w:pPr>
        <w:pStyle w:val="5"/>
        <w:numPr>
          <w:ilvl w:val="0"/>
          <w:numId w:val="2"/>
        </w:numPr>
        <w:spacing w:before="140" w:after="140" w:line="360" w:lineRule="auto"/>
        <w:rPr>
          <w:sz w:val="24"/>
        </w:rPr>
      </w:pPr>
      <w:r>
        <w:rPr>
          <w:rFonts w:hint="eastAsia"/>
        </w:rPr>
        <w:t>谈判文件的修改</w:t>
      </w:r>
    </w:p>
    <w:p>
      <w:pPr>
        <w:spacing w:line="360" w:lineRule="auto"/>
        <w:ind w:firstLine="360" w:firstLineChars="150"/>
        <w:rPr>
          <w:rFonts w:ascii="宋体" w:hAnsi="宋体"/>
          <w:color w:val="000000"/>
          <w:sz w:val="24"/>
        </w:rPr>
      </w:pPr>
      <w:r>
        <w:rPr>
          <w:rFonts w:hint="eastAsia" w:ascii="宋体" w:hAnsi="宋体"/>
          <w:color w:val="000000"/>
          <w:sz w:val="24"/>
        </w:rPr>
        <w:t xml:space="preserve">5.1. </w:t>
      </w:r>
      <w:r>
        <w:rPr>
          <w:rFonts w:hint="eastAsia" w:ascii="宋体" w:hAnsi="宋体"/>
          <w:sz w:val="24"/>
        </w:rPr>
        <w:t>谈判</w:t>
      </w:r>
      <w:r>
        <w:rPr>
          <w:rFonts w:ascii="宋体" w:hAnsi="宋体"/>
          <w:color w:val="000000"/>
          <w:sz w:val="24"/>
        </w:rPr>
        <w:t>文件发出后，</w:t>
      </w:r>
      <w:r>
        <w:rPr>
          <w:rFonts w:hint="eastAsia" w:ascii="宋体" w:hAnsi="宋体"/>
          <w:color w:val="000000"/>
          <w:sz w:val="24"/>
        </w:rPr>
        <w:t>采购人可对</w:t>
      </w:r>
      <w:r>
        <w:rPr>
          <w:rFonts w:hint="eastAsia" w:ascii="宋体" w:hAnsi="宋体"/>
          <w:sz w:val="24"/>
        </w:rPr>
        <w:t>谈判</w:t>
      </w:r>
      <w:r>
        <w:rPr>
          <w:rFonts w:hint="eastAsia" w:ascii="宋体" w:hAnsi="宋体"/>
          <w:color w:val="000000"/>
          <w:sz w:val="24"/>
        </w:rPr>
        <w:t>文件进行必要的澄清或修改。</w:t>
      </w:r>
    </w:p>
    <w:p>
      <w:pPr>
        <w:spacing w:line="360" w:lineRule="auto"/>
        <w:ind w:left="958" w:leftChars="172" w:hanging="597" w:hangingChars="249"/>
        <w:rPr>
          <w:rFonts w:ascii="宋体" w:hAnsi="宋体"/>
          <w:color w:val="000000"/>
          <w:sz w:val="24"/>
        </w:rPr>
      </w:pPr>
      <w:r>
        <w:rPr>
          <w:rFonts w:hint="eastAsia" w:ascii="宋体" w:hAnsi="宋体"/>
          <w:color w:val="000000"/>
          <w:sz w:val="24"/>
        </w:rPr>
        <w:t>5</w:t>
      </w:r>
      <w:r>
        <w:rPr>
          <w:rFonts w:ascii="宋体" w:hAnsi="宋体"/>
          <w:color w:val="000000"/>
          <w:sz w:val="24"/>
        </w:rPr>
        <w:t>.</w:t>
      </w:r>
      <w:r>
        <w:rPr>
          <w:rFonts w:hint="eastAsia" w:ascii="宋体" w:hAnsi="宋体"/>
          <w:color w:val="000000"/>
          <w:sz w:val="24"/>
        </w:rPr>
        <w:t xml:space="preserve">2. </w:t>
      </w:r>
      <w:r>
        <w:rPr>
          <w:rFonts w:hint="eastAsia" w:ascii="宋体" w:hAnsi="宋体"/>
          <w:sz w:val="24"/>
        </w:rPr>
        <w:t>谈判</w:t>
      </w:r>
      <w:r>
        <w:rPr>
          <w:rFonts w:ascii="宋体" w:hAnsi="宋体"/>
          <w:color w:val="000000"/>
          <w:sz w:val="24"/>
        </w:rPr>
        <w:t>文件的修改将以书面形式发送给所有</w:t>
      </w:r>
      <w:r>
        <w:rPr>
          <w:rFonts w:hint="eastAsia" w:ascii="宋体" w:hAnsi="宋体"/>
          <w:color w:val="000000"/>
          <w:sz w:val="24"/>
        </w:rPr>
        <w:t>响应供应商</w:t>
      </w:r>
      <w:r>
        <w:rPr>
          <w:rFonts w:ascii="宋体" w:hAnsi="宋体"/>
          <w:color w:val="000000"/>
          <w:sz w:val="24"/>
        </w:rPr>
        <w:t>，</w:t>
      </w:r>
      <w:r>
        <w:rPr>
          <w:rFonts w:hint="eastAsia" w:ascii="宋体" w:hAnsi="宋体"/>
          <w:color w:val="000000"/>
          <w:sz w:val="24"/>
        </w:rPr>
        <w:t>响应供应商</w:t>
      </w:r>
      <w:r>
        <w:rPr>
          <w:rFonts w:ascii="宋体" w:hAnsi="宋体"/>
          <w:color w:val="000000"/>
          <w:sz w:val="24"/>
        </w:rPr>
        <w:t>应于收到该修改文件后</w:t>
      </w:r>
      <w:r>
        <w:rPr>
          <w:rFonts w:hint="eastAsia" w:ascii="宋体" w:hAnsi="宋体"/>
          <w:color w:val="000000"/>
          <w:sz w:val="24"/>
        </w:rPr>
        <w:t>1</w:t>
      </w:r>
      <w:r>
        <w:rPr>
          <w:rFonts w:ascii="宋体" w:hAnsi="宋体"/>
          <w:color w:val="000000"/>
          <w:sz w:val="24"/>
        </w:rPr>
        <w:t>日内以书面形式给予确认。</w:t>
      </w:r>
      <w:r>
        <w:rPr>
          <w:rFonts w:hint="eastAsia" w:ascii="宋体" w:hAnsi="宋体"/>
          <w:sz w:val="24"/>
        </w:rPr>
        <w:t>谈判</w:t>
      </w:r>
      <w:r>
        <w:rPr>
          <w:rFonts w:ascii="宋体" w:hAnsi="宋体"/>
          <w:color w:val="000000"/>
          <w:sz w:val="24"/>
        </w:rPr>
        <w:t>文件的修改内容作为</w:t>
      </w:r>
      <w:r>
        <w:rPr>
          <w:rFonts w:hint="eastAsia" w:ascii="宋体" w:hAnsi="宋体"/>
          <w:sz w:val="24"/>
        </w:rPr>
        <w:t>谈判</w:t>
      </w:r>
      <w:r>
        <w:rPr>
          <w:rFonts w:ascii="宋体" w:hAnsi="宋体"/>
          <w:color w:val="000000"/>
          <w:sz w:val="24"/>
        </w:rPr>
        <w:t>文件的组成部分，具有约束作用。</w:t>
      </w:r>
    </w:p>
    <w:p>
      <w:pPr>
        <w:spacing w:line="360" w:lineRule="auto"/>
        <w:ind w:left="958" w:leftChars="172" w:hanging="597" w:hangingChars="249"/>
        <w:rPr>
          <w:rFonts w:ascii="宋体" w:hAnsi="宋体"/>
          <w:color w:val="000000"/>
          <w:sz w:val="24"/>
        </w:rPr>
      </w:pPr>
      <w:r>
        <w:rPr>
          <w:rFonts w:hint="eastAsia" w:ascii="宋体" w:hAnsi="宋体"/>
          <w:color w:val="000000"/>
          <w:sz w:val="24"/>
        </w:rPr>
        <w:t>5</w:t>
      </w:r>
      <w:r>
        <w:rPr>
          <w:rFonts w:ascii="宋体" w:hAnsi="宋体"/>
          <w:color w:val="000000"/>
          <w:sz w:val="24"/>
        </w:rPr>
        <w:t>.3</w:t>
      </w:r>
      <w:r>
        <w:rPr>
          <w:rFonts w:hint="eastAsia" w:ascii="宋体" w:hAnsi="宋体"/>
          <w:color w:val="000000"/>
          <w:sz w:val="24"/>
        </w:rPr>
        <w:t xml:space="preserve">. </w:t>
      </w:r>
      <w:r>
        <w:rPr>
          <w:rFonts w:hint="eastAsia" w:ascii="宋体" w:hAnsi="宋体"/>
          <w:sz w:val="24"/>
        </w:rPr>
        <w:t>谈判</w:t>
      </w:r>
      <w:r>
        <w:rPr>
          <w:rFonts w:ascii="宋体" w:hAnsi="宋体"/>
          <w:color w:val="000000"/>
          <w:sz w:val="24"/>
        </w:rPr>
        <w:t>文件的澄清、修改、补充等内容均以书面形式明确的内容为准。当</w:t>
      </w:r>
      <w:r>
        <w:rPr>
          <w:rFonts w:hint="eastAsia" w:ascii="宋体" w:hAnsi="宋体"/>
          <w:sz w:val="24"/>
        </w:rPr>
        <w:t>谈判</w:t>
      </w:r>
      <w:r>
        <w:rPr>
          <w:rFonts w:ascii="宋体" w:hAnsi="宋体"/>
          <w:color w:val="000000"/>
          <w:sz w:val="24"/>
        </w:rPr>
        <w:t>文件、</w:t>
      </w:r>
      <w:r>
        <w:rPr>
          <w:rFonts w:hint="eastAsia" w:ascii="宋体" w:hAnsi="宋体"/>
          <w:sz w:val="24"/>
        </w:rPr>
        <w:t>谈判</w:t>
      </w:r>
      <w:r>
        <w:rPr>
          <w:rFonts w:ascii="宋体" w:hAnsi="宋体"/>
          <w:color w:val="000000"/>
          <w:sz w:val="24"/>
        </w:rPr>
        <w:t>文件的澄清、修改、补充等在同一内容的表述上不一致时，以最后发出的书面文件为准。</w:t>
      </w:r>
    </w:p>
    <w:p>
      <w:pPr>
        <w:spacing w:line="360" w:lineRule="auto"/>
        <w:ind w:left="958" w:leftChars="172" w:hanging="597" w:hangingChars="249"/>
        <w:rPr>
          <w:rFonts w:ascii="宋体" w:hAnsi="宋体"/>
          <w:color w:val="000000"/>
          <w:sz w:val="24"/>
        </w:rPr>
      </w:pPr>
      <w:r>
        <w:rPr>
          <w:rFonts w:hint="eastAsia" w:ascii="宋体" w:hAnsi="宋体"/>
          <w:color w:val="000000"/>
          <w:sz w:val="24"/>
        </w:rPr>
        <w:t>5</w:t>
      </w:r>
      <w:r>
        <w:rPr>
          <w:rFonts w:ascii="宋体" w:hAnsi="宋体"/>
          <w:color w:val="000000"/>
          <w:sz w:val="24"/>
        </w:rPr>
        <w:t>.4</w:t>
      </w:r>
      <w:r>
        <w:rPr>
          <w:rFonts w:hint="eastAsia" w:ascii="宋体" w:hAnsi="宋体"/>
          <w:color w:val="000000"/>
          <w:sz w:val="24"/>
        </w:rPr>
        <w:t xml:space="preserve">. </w:t>
      </w:r>
      <w:r>
        <w:rPr>
          <w:rFonts w:ascii="宋体" w:hAnsi="宋体"/>
          <w:color w:val="000000"/>
          <w:sz w:val="24"/>
        </w:rPr>
        <w:t>为使</w:t>
      </w:r>
      <w:r>
        <w:rPr>
          <w:rFonts w:hint="eastAsia" w:ascii="宋体" w:hAnsi="宋体"/>
          <w:color w:val="000000"/>
          <w:sz w:val="24"/>
        </w:rPr>
        <w:t>响应供应商</w:t>
      </w:r>
      <w:r>
        <w:rPr>
          <w:rFonts w:ascii="宋体" w:hAnsi="宋体"/>
          <w:color w:val="000000"/>
          <w:sz w:val="24"/>
        </w:rPr>
        <w:t>在编制谈判响应文件时有充分的时间对</w:t>
      </w:r>
      <w:r>
        <w:rPr>
          <w:rFonts w:hint="eastAsia" w:ascii="宋体" w:hAnsi="宋体"/>
          <w:sz w:val="24"/>
        </w:rPr>
        <w:t>谈判</w:t>
      </w:r>
      <w:r>
        <w:rPr>
          <w:rFonts w:ascii="宋体" w:hAnsi="宋体"/>
          <w:color w:val="000000"/>
          <w:sz w:val="24"/>
        </w:rPr>
        <w:t>文件的澄清、修改、补充等内容进行研究，</w:t>
      </w:r>
      <w:r>
        <w:rPr>
          <w:rFonts w:hint="eastAsia" w:ascii="宋体" w:hAnsi="宋体"/>
          <w:color w:val="000000"/>
          <w:sz w:val="24"/>
        </w:rPr>
        <w:t>采购人可</w:t>
      </w:r>
      <w:r>
        <w:rPr>
          <w:rFonts w:ascii="宋体" w:hAnsi="宋体"/>
          <w:color w:val="000000"/>
          <w:sz w:val="24"/>
        </w:rPr>
        <w:t>酌情延长提交谈判响应文件的截止时间，具体时间将在</w:t>
      </w:r>
      <w:r>
        <w:rPr>
          <w:rFonts w:hint="eastAsia" w:ascii="宋体" w:hAnsi="宋体"/>
          <w:sz w:val="24"/>
        </w:rPr>
        <w:t>谈判</w:t>
      </w:r>
      <w:r>
        <w:rPr>
          <w:rFonts w:ascii="宋体" w:hAnsi="宋体"/>
          <w:color w:val="000000"/>
          <w:sz w:val="24"/>
        </w:rPr>
        <w:t>文件的修改、补充通知中予以明确。</w:t>
      </w:r>
    </w:p>
    <w:p>
      <w:pPr>
        <w:pStyle w:val="5"/>
        <w:numPr>
          <w:ilvl w:val="0"/>
          <w:numId w:val="2"/>
        </w:numPr>
        <w:spacing w:before="140" w:after="140" w:line="360" w:lineRule="auto"/>
      </w:pPr>
      <w:r>
        <w:rPr>
          <w:rFonts w:hint="eastAsia"/>
        </w:rPr>
        <w:t>谈判文件的约束力</w:t>
      </w:r>
    </w:p>
    <w:p>
      <w:pPr>
        <w:pStyle w:val="6"/>
        <w:adjustRightInd w:val="0"/>
        <w:snapToGrid w:val="0"/>
        <w:spacing w:line="360" w:lineRule="auto"/>
        <w:ind w:left="959" w:leftChars="171" w:hanging="600" w:hangingChars="250"/>
        <w:rPr>
          <w:rFonts w:ascii="宋体" w:hAnsi="宋体"/>
          <w:color w:val="000000"/>
          <w:sz w:val="24"/>
          <w:szCs w:val="24"/>
        </w:rPr>
      </w:pPr>
      <w:r>
        <w:rPr>
          <w:rFonts w:hint="eastAsia" w:ascii="宋体" w:hAnsi="宋体"/>
          <w:color w:val="000000"/>
          <w:sz w:val="24"/>
          <w:szCs w:val="24"/>
        </w:rPr>
        <w:t>6.1. 响应供应商一旦领取了本谈判文件并参加谈判，即被认为接受了本谈判文件中的所有条件和规定。</w:t>
      </w:r>
    </w:p>
    <w:p>
      <w:pPr>
        <w:pStyle w:val="3"/>
        <w:spacing w:line="360" w:lineRule="auto"/>
        <w:jc w:val="center"/>
        <w:rPr>
          <w:rFonts w:ascii="宋体" w:hAnsi="宋体" w:eastAsia="宋体"/>
        </w:rPr>
      </w:pPr>
      <w:r>
        <w:rPr>
          <w:rFonts w:hint="eastAsia" w:ascii="宋体" w:hAnsi="宋体" w:eastAsia="宋体"/>
        </w:rPr>
        <w:t>Ｃ</w:t>
      </w:r>
      <w:r>
        <w:rPr>
          <w:rFonts w:ascii="宋体" w:hAnsi="宋体" w:eastAsia="宋体"/>
        </w:rPr>
        <w:t xml:space="preserve">  </w:t>
      </w:r>
      <w:r>
        <w:rPr>
          <w:rFonts w:hint="eastAsia" w:ascii="宋体" w:hAnsi="宋体" w:eastAsia="宋体"/>
        </w:rPr>
        <w:t>谈判响应文件的编写</w:t>
      </w:r>
    </w:p>
    <w:p>
      <w:pPr>
        <w:pStyle w:val="5"/>
        <w:numPr>
          <w:ilvl w:val="0"/>
          <w:numId w:val="2"/>
        </w:numPr>
        <w:spacing w:before="140" w:after="140" w:line="360" w:lineRule="auto"/>
        <w:rPr>
          <w:rFonts w:hAnsi="宋体"/>
          <w:sz w:val="30"/>
        </w:rPr>
      </w:pPr>
      <w:r>
        <w:rPr>
          <w:rFonts w:hint="eastAsia" w:hAnsi="宋体"/>
          <w:sz w:val="30"/>
        </w:rPr>
        <w:t>编写要求</w:t>
      </w:r>
    </w:p>
    <w:p>
      <w:pPr>
        <w:spacing w:line="360" w:lineRule="auto"/>
        <w:ind w:left="1078" w:leftChars="172" w:hanging="717" w:hangingChars="299"/>
        <w:rPr>
          <w:rFonts w:ascii="宋体" w:hAnsi="宋体"/>
          <w:color w:val="000000"/>
          <w:sz w:val="24"/>
        </w:rPr>
      </w:pPr>
      <w:r>
        <w:rPr>
          <w:rFonts w:hint="eastAsia" w:ascii="宋体" w:hAnsi="宋体"/>
          <w:color w:val="000000"/>
          <w:sz w:val="24"/>
        </w:rPr>
        <w:t>7.1.  响应供应商应仔细阅读谈判文件的所有内容，按谈判文件的要求编写谈判响应文件，并保证所提供的全部资料的真实性和有效性，以确保其投标对谈判文件做出实质性响应。</w:t>
      </w:r>
    </w:p>
    <w:p>
      <w:pPr>
        <w:tabs>
          <w:tab w:val="left" w:pos="1080"/>
        </w:tabs>
        <w:spacing w:line="360" w:lineRule="auto"/>
        <w:ind w:left="1078" w:leftChars="172" w:hanging="717" w:hangingChars="299"/>
        <w:rPr>
          <w:rFonts w:ascii="宋体" w:hAnsi="宋体"/>
          <w:color w:val="000000"/>
          <w:sz w:val="24"/>
        </w:rPr>
      </w:pPr>
      <w:r>
        <w:rPr>
          <w:rFonts w:hint="eastAsia" w:ascii="宋体" w:hAnsi="宋体"/>
          <w:color w:val="000000"/>
          <w:sz w:val="24"/>
        </w:rPr>
        <w:t>7.2.  现场考察：建议响应供应商对工程项目现场和其周围环境进行考察和踏勘，以获取有关编制谈判响应文件和签署实施工程合同所需的各项资料，联系方式见谈判须知前附表。响应供应商自行承担现场考察的全部费用、责任和风险。</w:t>
      </w:r>
    </w:p>
    <w:p>
      <w:pPr>
        <w:spacing w:line="360" w:lineRule="auto"/>
        <w:ind w:left="1078" w:leftChars="172" w:hanging="717" w:hangingChars="299"/>
        <w:rPr>
          <w:rFonts w:ascii="宋体" w:hAnsi="宋体"/>
          <w:color w:val="000000"/>
          <w:sz w:val="24"/>
        </w:rPr>
      </w:pPr>
      <w:r>
        <w:rPr>
          <w:rFonts w:hint="eastAsia" w:ascii="宋体" w:hAnsi="宋体"/>
          <w:color w:val="000000"/>
          <w:sz w:val="24"/>
        </w:rPr>
        <w:t>7.3.  项目报价应为项目经甲方验收合格后甲方支付的全部含税价（报价中应包括材料费、人工费以及运输费、税金等与本次制作有关的一切费用，除此之外，采购人不再单独另行支付任何其他费用），报价应以人民币报价。报价清单应由法定代表人或其授权代表签字加盖公章予以确认。</w:t>
      </w:r>
    </w:p>
    <w:p>
      <w:pPr>
        <w:pStyle w:val="5"/>
        <w:numPr>
          <w:ilvl w:val="0"/>
          <w:numId w:val="2"/>
        </w:numPr>
        <w:tabs>
          <w:tab w:val="left" w:pos="810"/>
        </w:tabs>
        <w:spacing w:before="140" w:after="140" w:line="360" w:lineRule="auto"/>
        <w:rPr>
          <w:rFonts w:hAnsi="宋体"/>
          <w:color w:val="000000"/>
          <w:sz w:val="30"/>
        </w:rPr>
      </w:pPr>
      <w:r>
        <w:rPr>
          <w:rFonts w:hint="eastAsia" w:hAnsi="宋体"/>
          <w:sz w:val="30"/>
        </w:rPr>
        <w:t>谈判响应文件的组成</w:t>
      </w:r>
    </w:p>
    <w:p>
      <w:pPr>
        <w:spacing w:line="360" w:lineRule="auto"/>
        <w:ind w:firstLine="360" w:firstLineChars="150"/>
        <w:rPr>
          <w:rFonts w:ascii="宋体" w:hAnsi="宋体"/>
          <w:sz w:val="24"/>
        </w:rPr>
      </w:pPr>
      <w:r>
        <w:rPr>
          <w:rFonts w:hint="eastAsia" w:ascii="宋体" w:hAnsi="宋体"/>
          <w:sz w:val="24"/>
        </w:rPr>
        <w:t>8.1. 谈判响应文件应包括以下几个基本部分：</w:t>
      </w:r>
    </w:p>
    <w:p>
      <w:pPr>
        <w:spacing w:line="360" w:lineRule="auto"/>
        <w:ind w:left="540" w:leftChars="257" w:firstLine="360" w:firstLineChars="150"/>
        <w:rPr>
          <w:rFonts w:ascii="宋体" w:hAnsi="宋体"/>
          <w:sz w:val="24"/>
        </w:rPr>
      </w:pPr>
      <w:r>
        <w:rPr>
          <w:rFonts w:ascii="宋体" w:hAnsi="宋体"/>
          <w:sz w:val="24"/>
        </w:rPr>
        <w:t>(</w:t>
      </w:r>
      <w:r>
        <w:rPr>
          <w:rFonts w:hint="eastAsia" w:ascii="宋体" w:hAnsi="宋体"/>
          <w:sz w:val="24"/>
        </w:rPr>
        <w:t>1</w:t>
      </w:r>
      <w:r>
        <w:rPr>
          <w:rFonts w:ascii="宋体" w:hAnsi="宋体"/>
          <w:sz w:val="24"/>
        </w:rPr>
        <w:t>)</w:t>
      </w:r>
      <w:r>
        <w:rPr>
          <w:rFonts w:hint="eastAsia" w:ascii="宋体" w:hAnsi="宋体"/>
          <w:sz w:val="24"/>
        </w:rPr>
        <w:t xml:space="preserve"> 商务部分</w:t>
      </w:r>
    </w:p>
    <w:p>
      <w:pPr>
        <w:spacing w:line="360" w:lineRule="auto"/>
        <w:ind w:left="540" w:leftChars="257" w:firstLine="360" w:firstLineChars="150"/>
        <w:rPr>
          <w:rFonts w:ascii="宋体" w:hAnsi="宋体"/>
          <w:sz w:val="24"/>
        </w:rPr>
      </w:pPr>
      <w:r>
        <w:rPr>
          <w:rFonts w:ascii="宋体" w:hAnsi="宋体"/>
          <w:sz w:val="24"/>
        </w:rPr>
        <w:t>(</w:t>
      </w:r>
      <w:r>
        <w:rPr>
          <w:rFonts w:hint="eastAsia" w:ascii="宋体" w:hAnsi="宋体"/>
          <w:sz w:val="24"/>
        </w:rPr>
        <w:t>2</w:t>
      </w:r>
      <w:r>
        <w:rPr>
          <w:rFonts w:ascii="宋体" w:hAnsi="宋体"/>
          <w:sz w:val="24"/>
        </w:rPr>
        <w:t>)</w:t>
      </w:r>
      <w:r>
        <w:rPr>
          <w:rFonts w:hint="eastAsia" w:ascii="宋体" w:hAnsi="宋体"/>
          <w:sz w:val="24"/>
        </w:rPr>
        <w:t xml:space="preserve"> 综合部分</w:t>
      </w:r>
    </w:p>
    <w:p>
      <w:pPr>
        <w:spacing w:line="360" w:lineRule="auto"/>
        <w:ind w:left="540" w:leftChars="257" w:firstLine="360" w:firstLineChars="150"/>
        <w:rPr>
          <w:rFonts w:ascii="宋体" w:hAnsi="宋体"/>
          <w:sz w:val="24"/>
        </w:rPr>
      </w:pPr>
      <w:r>
        <w:rPr>
          <w:rFonts w:hint="eastAsia" w:ascii="宋体" w:hAnsi="宋体"/>
          <w:color w:val="000000"/>
          <w:sz w:val="24"/>
        </w:rPr>
        <w:t>（一）项目预（决）算书（根据竞争性谈判文件提供的资料自行编制）</w:t>
      </w:r>
    </w:p>
    <w:p>
      <w:pPr>
        <w:spacing w:line="360" w:lineRule="auto"/>
        <w:ind w:left="540" w:leftChars="257" w:firstLine="360" w:firstLineChars="150"/>
        <w:rPr>
          <w:rFonts w:ascii="宋体" w:hAnsi="宋体"/>
          <w:sz w:val="24"/>
        </w:rPr>
      </w:pPr>
      <w:r>
        <w:rPr>
          <w:rFonts w:hint="eastAsia" w:ascii="宋体" w:hAnsi="宋体"/>
          <w:sz w:val="24"/>
        </w:rPr>
        <w:t>（二）详细</w:t>
      </w:r>
      <w:r>
        <w:rPr>
          <w:rFonts w:hint="eastAsia" w:ascii="宋体" w:hAnsi="宋体"/>
          <w:color w:val="000000"/>
          <w:sz w:val="24"/>
        </w:rPr>
        <w:t>实施方案(包括施工进度安排、项目经理及人员组成等等)</w:t>
      </w:r>
    </w:p>
    <w:p>
      <w:pPr>
        <w:spacing w:line="360" w:lineRule="auto"/>
        <w:ind w:left="540" w:leftChars="257" w:firstLine="360" w:firstLineChars="150"/>
        <w:rPr>
          <w:rFonts w:ascii="宋体" w:hAnsi="宋体"/>
          <w:sz w:val="24"/>
        </w:rPr>
      </w:pPr>
      <w:r>
        <w:rPr>
          <w:rFonts w:hint="eastAsia" w:ascii="宋体" w:hAnsi="宋体"/>
          <w:color w:val="000000"/>
          <w:sz w:val="24"/>
        </w:rPr>
        <w:t>（三）项目后期维护服务承诺书</w:t>
      </w:r>
    </w:p>
    <w:p>
      <w:pPr>
        <w:spacing w:line="360" w:lineRule="auto"/>
        <w:ind w:left="540" w:leftChars="257" w:firstLine="360" w:firstLineChars="150"/>
        <w:rPr>
          <w:rFonts w:ascii="宋体" w:hAnsi="宋体"/>
          <w:sz w:val="24"/>
        </w:rPr>
      </w:pPr>
      <w:r>
        <w:rPr>
          <w:rFonts w:hint="eastAsia" w:ascii="宋体" w:hAnsi="宋体"/>
          <w:color w:val="000000"/>
          <w:sz w:val="24"/>
        </w:rPr>
        <w:t>（四）资格证明文件</w:t>
      </w:r>
      <w:r>
        <w:rPr>
          <w:rFonts w:hint="eastAsia" w:ascii="宋体" w:hAnsi="宋体"/>
          <w:sz w:val="24"/>
        </w:rPr>
        <w:t>；</w:t>
      </w:r>
    </w:p>
    <w:p>
      <w:pPr>
        <w:spacing w:line="360" w:lineRule="auto"/>
        <w:ind w:left="540" w:leftChars="257" w:firstLine="360" w:firstLineChars="150"/>
        <w:rPr>
          <w:rFonts w:ascii="宋体" w:hAnsi="宋体"/>
          <w:color w:val="000000"/>
          <w:sz w:val="24"/>
        </w:rPr>
      </w:pPr>
      <w:r>
        <w:rPr>
          <w:rFonts w:hint="eastAsia" w:ascii="宋体" w:hAnsi="宋体"/>
          <w:color w:val="000000"/>
          <w:sz w:val="24"/>
        </w:rPr>
        <w:t>（五）项目质量保证承诺书</w:t>
      </w:r>
    </w:p>
    <w:p>
      <w:pPr>
        <w:spacing w:line="360" w:lineRule="auto"/>
        <w:ind w:left="540" w:leftChars="257" w:firstLine="360" w:firstLineChars="150"/>
        <w:rPr>
          <w:rFonts w:ascii="宋体" w:hAnsi="宋体"/>
          <w:sz w:val="24"/>
        </w:rPr>
      </w:pPr>
      <w:r>
        <w:rPr>
          <w:rFonts w:hint="eastAsia" w:ascii="宋体" w:hAnsi="宋体"/>
          <w:sz w:val="24"/>
        </w:rPr>
        <w:t>（六）谈判文件要求提供的其他资料</w:t>
      </w:r>
    </w:p>
    <w:p>
      <w:pPr>
        <w:spacing w:line="360" w:lineRule="auto"/>
        <w:ind w:firstLine="360" w:firstLineChars="150"/>
        <w:rPr>
          <w:rFonts w:ascii="宋体" w:hAnsi="宋体"/>
          <w:sz w:val="24"/>
        </w:rPr>
      </w:pPr>
      <w:r>
        <w:rPr>
          <w:rFonts w:hint="eastAsia" w:ascii="宋体" w:hAnsi="宋体"/>
          <w:sz w:val="24"/>
        </w:rPr>
        <w:t>8.2. 对上述文件的具体解释如下</w:t>
      </w:r>
    </w:p>
    <w:p>
      <w:pPr>
        <w:spacing w:line="360" w:lineRule="auto"/>
        <w:ind w:firstLine="960" w:firstLineChars="400"/>
        <w:rPr>
          <w:rFonts w:ascii="宋体" w:hAnsi="宋体"/>
          <w:sz w:val="24"/>
        </w:rPr>
      </w:pPr>
      <w:r>
        <w:rPr>
          <w:rFonts w:hint="eastAsia" w:ascii="宋体" w:hAnsi="宋体"/>
          <w:sz w:val="24"/>
        </w:rPr>
        <w:t>8.2.1商务部分</w:t>
      </w:r>
    </w:p>
    <w:p>
      <w:pPr>
        <w:spacing w:line="360" w:lineRule="auto"/>
        <w:ind w:left="540" w:leftChars="257" w:firstLine="360" w:firstLineChars="150"/>
        <w:rPr>
          <w:rFonts w:ascii="宋体" w:hAnsi="宋体"/>
          <w:sz w:val="24"/>
        </w:rPr>
      </w:pPr>
      <w:r>
        <w:rPr>
          <w:rFonts w:hint="eastAsia" w:ascii="宋体" w:hAnsi="宋体"/>
          <w:sz w:val="24"/>
        </w:rPr>
        <w:t>（1）投标函及其附表。</w:t>
      </w:r>
    </w:p>
    <w:p>
      <w:pPr>
        <w:spacing w:line="360" w:lineRule="auto"/>
        <w:ind w:left="540" w:leftChars="257" w:firstLine="360" w:firstLineChars="150"/>
        <w:rPr>
          <w:rFonts w:ascii="宋体" w:hAnsi="宋体"/>
          <w:sz w:val="24"/>
        </w:rPr>
      </w:pPr>
      <w:r>
        <w:rPr>
          <w:rFonts w:hint="eastAsia" w:ascii="宋体" w:hAnsi="宋体"/>
          <w:sz w:val="24"/>
        </w:rPr>
        <w:t>（2）法定代表人资格证明书和法定代表人授权委托书的原件（如有授权）。</w:t>
      </w:r>
    </w:p>
    <w:p>
      <w:pPr>
        <w:spacing w:line="360" w:lineRule="auto"/>
        <w:ind w:left="1499" w:leftChars="428" w:hanging="600" w:hangingChars="250"/>
        <w:rPr>
          <w:rFonts w:ascii="宋体" w:hAnsi="宋体"/>
          <w:sz w:val="24"/>
        </w:rPr>
      </w:pPr>
      <w:r>
        <w:rPr>
          <w:rFonts w:hint="eastAsia" w:ascii="宋体" w:hAnsi="宋体"/>
          <w:sz w:val="24"/>
        </w:rPr>
        <w:t>（3）资格证明材料：工商营业执照复印件（三证合一，若未办理三证合一证件的单位，必须提供由国家质量技术监督局颁发的中华人民共和国组织机构代码证复印件、税务登记证复印件）及法人代表身份证复印件。</w:t>
      </w:r>
    </w:p>
    <w:p>
      <w:pPr>
        <w:spacing w:line="360" w:lineRule="auto"/>
        <w:ind w:left="540" w:leftChars="257" w:firstLine="360" w:firstLineChars="150"/>
        <w:rPr>
          <w:rFonts w:ascii="宋体" w:hAnsi="宋体"/>
          <w:sz w:val="24"/>
        </w:rPr>
      </w:pPr>
      <w:r>
        <w:rPr>
          <w:rFonts w:hint="eastAsia" w:ascii="宋体" w:hAnsi="宋体"/>
          <w:sz w:val="24"/>
        </w:rPr>
        <w:t>（4）银行开户许可证及保证金银行回单复印件</w:t>
      </w:r>
    </w:p>
    <w:p>
      <w:pPr>
        <w:spacing w:line="360" w:lineRule="auto"/>
        <w:ind w:left="1499" w:leftChars="428" w:hanging="600" w:hangingChars="250"/>
        <w:rPr>
          <w:rFonts w:ascii="宋体" w:hAnsi="宋体"/>
          <w:sz w:val="24"/>
        </w:rPr>
      </w:pPr>
      <w:r>
        <w:rPr>
          <w:rFonts w:hint="eastAsia" w:ascii="宋体" w:hAnsi="宋体"/>
          <w:sz w:val="24"/>
        </w:rPr>
        <w:t>（5）详细预(决)算书、投标报价汇总表、主要材料用量汇总表(即详细的分项工程量清单、包括品牌及单价等)；</w:t>
      </w:r>
    </w:p>
    <w:p>
      <w:pPr>
        <w:spacing w:line="360" w:lineRule="auto"/>
        <w:ind w:left="540" w:leftChars="257" w:firstLine="360" w:firstLineChars="150"/>
        <w:rPr>
          <w:rFonts w:ascii="宋体" w:hAnsi="宋体"/>
          <w:sz w:val="24"/>
        </w:rPr>
      </w:pPr>
      <w:r>
        <w:rPr>
          <w:rFonts w:hint="eastAsia" w:ascii="宋体" w:hAnsi="宋体"/>
          <w:sz w:val="24"/>
        </w:rPr>
        <w:t>（6）主材、特材和其它需要乙方供应的材料用量；</w:t>
      </w:r>
    </w:p>
    <w:p>
      <w:pPr>
        <w:spacing w:line="360" w:lineRule="auto"/>
        <w:ind w:left="540" w:leftChars="257" w:firstLine="360" w:firstLineChars="150"/>
        <w:rPr>
          <w:rFonts w:ascii="宋体" w:hAnsi="宋体"/>
          <w:sz w:val="24"/>
        </w:rPr>
      </w:pPr>
      <w:r>
        <w:rPr>
          <w:rFonts w:hint="eastAsia" w:ascii="宋体" w:hAnsi="宋体"/>
          <w:sz w:val="24"/>
        </w:rPr>
        <w:t>（7）对谈判文件中的合同协议条款的确认和响应。</w:t>
      </w:r>
    </w:p>
    <w:p>
      <w:pPr>
        <w:spacing w:line="360" w:lineRule="auto"/>
        <w:ind w:left="540" w:leftChars="257" w:firstLine="360" w:firstLineChars="150"/>
        <w:rPr>
          <w:rFonts w:ascii="宋体" w:hAnsi="宋体"/>
          <w:sz w:val="24"/>
        </w:rPr>
      </w:pPr>
      <w:r>
        <w:rPr>
          <w:rFonts w:hint="eastAsia" w:ascii="宋体" w:hAnsi="宋体"/>
          <w:sz w:val="24"/>
        </w:rPr>
        <w:t>（8）谈判文件要求提供的其他文件和资料。</w:t>
      </w:r>
    </w:p>
    <w:p>
      <w:pPr>
        <w:spacing w:line="360" w:lineRule="auto"/>
        <w:ind w:left="540" w:leftChars="257" w:firstLine="360" w:firstLineChars="150"/>
        <w:rPr>
          <w:rFonts w:ascii="宋体" w:hAnsi="宋体"/>
          <w:sz w:val="24"/>
        </w:rPr>
      </w:pPr>
      <w:r>
        <w:rPr>
          <w:rFonts w:hint="eastAsia" w:ascii="宋体" w:hAnsi="宋体"/>
          <w:sz w:val="24"/>
        </w:rPr>
        <w:t>8.1.2综合部分</w:t>
      </w:r>
    </w:p>
    <w:p>
      <w:pPr>
        <w:spacing w:line="360" w:lineRule="auto"/>
        <w:ind w:left="540" w:leftChars="257" w:firstLine="360" w:firstLineChars="150"/>
        <w:rPr>
          <w:rFonts w:ascii="宋体" w:hAnsi="宋体"/>
          <w:sz w:val="24"/>
        </w:rPr>
      </w:pPr>
      <w:r>
        <w:rPr>
          <w:rFonts w:hint="eastAsia" w:ascii="宋体" w:hAnsi="宋体"/>
          <w:color w:val="000000"/>
          <w:sz w:val="24"/>
        </w:rPr>
        <w:t>（一）项目预（决）算书（根据竞争性谈判文件提供的资料自行编制）</w:t>
      </w:r>
    </w:p>
    <w:p>
      <w:pPr>
        <w:spacing w:line="360" w:lineRule="auto"/>
        <w:ind w:left="540" w:leftChars="257" w:firstLine="360" w:firstLineChars="150"/>
        <w:rPr>
          <w:rFonts w:ascii="宋体" w:hAnsi="宋体"/>
          <w:sz w:val="24"/>
        </w:rPr>
      </w:pPr>
      <w:r>
        <w:rPr>
          <w:rFonts w:hint="eastAsia" w:ascii="宋体" w:hAnsi="宋体"/>
          <w:sz w:val="24"/>
        </w:rPr>
        <w:t>（二）详细</w:t>
      </w:r>
      <w:r>
        <w:rPr>
          <w:rFonts w:hint="eastAsia" w:ascii="宋体" w:hAnsi="宋体"/>
          <w:color w:val="000000"/>
          <w:sz w:val="24"/>
        </w:rPr>
        <w:t>实施方案(包括施工进度安排、项目经理及人员组成等等)</w:t>
      </w:r>
    </w:p>
    <w:p>
      <w:pPr>
        <w:spacing w:line="360" w:lineRule="auto"/>
        <w:ind w:left="540" w:leftChars="257" w:firstLine="360" w:firstLineChars="150"/>
        <w:rPr>
          <w:rFonts w:ascii="宋体" w:hAnsi="宋体"/>
          <w:sz w:val="24"/>
        </w:rPr>
      </w:pPr>
      <w:r>
        <w:rPr>
          <w:rFonts w:hint="eastAsia" w:ascii="宋体" w:hAnsi="宋体"/>
          <w:color w:val="000000"/>
          <w:sz w:val="24"/>
        </w:rPr>
        <w:t>（三）项目后期维护服务承诺书</w:t>
      </w:r>
    </w:p>
    <w:p>
      <w:pPr>
        <w:spacing w:line="360" w:lineRule="auto"/>
        <w:ind w:left="540" w:leftChars="257" w:firstLine="360" w:firstLineChars="150"/>
        <w:rPr>
          <w:rFonts w:ascii="宋体" w:hAnsi="宋体"/>
          <w:sz w:val="24"/>
        </w:rPr>
      </w:pPr>
      <w:r>
        <w:rPr>
          <w:rFonts w:hint="eastAsia" w:ascii="宋体" w:hAnsi="宋体"/>
          <w:color w:val="000000"/>
          <w:sz w:val="24"/>
        </w:rPr>
        <w:t>（四）资格证明文件</w:t>
      </w:r>
      <w:r>
        <w:rPr>
          <w:rFonts w:hint="eastAsia" w:ascii="宋体" w:hAnsi="宋体"/>
          <w:sz w:val="24"/>
        </w:rPr>
        <w:t>；</w:t>
      </w:r>
    </w:p>
    <w:p>
      <w:pPr>
        <w:spacing w:line="360" w:lineRule="auto"/>
        <w:ind w:left="540" w:leftChars="257" w:firstLine="360" w:firstLineChars="150"/>
        <w:rPr>
          <w:rFonts w:ascii="宋体" w:hAnsi="宋体"/>
          <w:color w:val="000000"/>
          <w:sz w:val="24"/>
        </w:rPr>
      </w:pPr>
      <w:r>
        <w:rPr>
          <w:rFonts w:hint="eastAsia" w:ascii="宋体" w:hAnsi="宋体"/>
          <w:color w:val="000000"/>
          <w:sz w:val="24"/>
        </w:rPr>
        <w:t>（五）项目质量保证承诺书</w:t>
      </w:r>
    </w:p>
    <w:p>
      <w:pPr>
        <w:spacing w:line="360" w:lineRule="auto"/>
        <w:ind w:left="540" w:leftChars="257" w:firstLine="360" w:firstLineChars="150"/>
        <w:rPr>
          <w:rFonts w:ascii="宋体" w:hAnsi="宋体"/>
          <w:sz w:val="24"/>
        </w:rPr>
      </w:pPr>
      <w:r>
        <w:rPr>
          <w:rFonts w:hint="eastAsia" w:ascii="宋体" w:hAnsi="宋体"/>
          <w:sz w:val="24"/>
        </w:rPr>
        <w:t>（六）谈判文件要求提供的其他资料</w:t>
      </w:r>
    </w:p>
    <w:p>
      <w:pPr>
        <w:pStyle w:val="11"/>
        <w:spacing w:line="360" w:lineRule="auto"/>
        <w:ind w:left="1178" w:leftChars="280" w:hanging="590" w:hangingChars="245"/>
        <w:rPr>
          <w:rFonts w:ascii="黑体" w:hAnsi="宋体" w:eastAsia="黑体"/>
          <w:b/>
          <w:sz w:val="24"/>
          <w:szCs w:val="24"/>
        </w:rPr>
      </w:pPr>
      <w:r>
        <w:rPr>
          <w:rFonts w:hint="eastAsia" w:ascii="黑体" w:eastAsia="黑体"/>
          <w:b/>
          <w:sz w:val="24"/>
          <w:szCs w:val="24"/>
        </w:rPr>
        <w:t>注： 以上各项在谈判文件中有格式规定的按照规定格式填写,没有规定格式的自行设计格式,同时均应在每份谈判响应文件中一式一份。</w:t>
      </w:r>
    </w:p>
    <w:p>
      <w:pPr>
        <w:spacing w:line="360" w:lineRule="auto"/>
        <w:ind w:left="1196" w:leftChars="171" w:hanging="837" w:hangingChars="349"/>
        <w:rPr>
          <w:sz w:val="24"/>
        </w:rPr>
      </w:pPr>
      <w:r>
        <w:rPr>
          <w:rFonts w:hint="eastAsia" w:ascii="宋体" w:hAnsi="宋体"/>
          <w:sz w:val="24"/>
        </w:rPr>
        <w:t xml:space="preserve">8.2.   </w:t>
      </w:r>
      <w:r>
        <w:rPr>
          <w:rFonts w:hint="eastAsia"/>
          <w:sz w:val="24"/>
        </w:rPr>
        <w:t>响应供应商应将谈判响应文件装订成册，并填写“谈判响应文件目录”，并编写页码。上述文件及表格为响应供应商必须提交的文件，各响应供应商可以根据实际情况增加内容，但不得擅自减少有关内容。谈判响应文件的完整性是谈判的重要内容之一。</w:t>
      </w:r>
    </w:p>
    <w:p>
      <w:pPr>
        <w:pStyle w:val="5"/>
        <w:numPr>
          <w:ilvl w:val="0"/>
          <w:numId w:val="2"/>
        </w:numPr>
        <w:tabs>
          <w:tab w:val="left" w:pos="810"/>
        </w:tabs>
        <w:spacing w:before="140" w:after="140" w:line="360" w:lineRule="auto"/>
        <w:rPr>
          <w:rFonts w:hAnsi="宋体"/>
          <w:sz w:val="30"/>
        </w:rPr>
      </w:pPr>
      <w:r>
        <w:rPr>
          <w:rFonts w:hint="eastAsia" w:hAnsi="宋体"/>
          <w:sz w:val="30"/>
        </w:rPr>
        <w:t>谈判响应文件格式</w:t>
      </w:r>
    </w:p>
    <w:p>
      <w:pPr>
        <w:numPr>
          <w:ilvl w:val="1"/>
          <w:numId w:val="2"/>
        </w:numPr>
        <w:spacing w:line="360" w:lineRule="auto"/>
        <w:rPr>
          <w:rFonts w:ascii="宋体" w:hAnsi="宋体"/>
          <w:sz w:val="24"/>
        </w:rPr>
      </w:pPr>
      <w:r>
        <w:rPr>
          <w:rFonts w:hint="eastAsia" w:ascii="宋体" w:hAnsi="宋体"/>
          <w:sz w:val="24"/>
        </w:rPr>
        <w:t>响应供应商应按谈判文件中提供的谈判响应文件格式填写；</w:t>
      </w:r>
    </w:p>
    <w:p>
      <w:pPr>
        <w:numPr>
          <w:ilvl w:val="1"/>
          <w:numId w:val="2"/>
        </w:numPr>
        <w:spacing w:line="360" w:lineRule="auto"/>
        <w:rPr>
          <w:rFonts w:ascii="宋体" w:hAnsi="宋体"/>
          <w:sz w:val="24"/>
        </w:rPr>
      </w:pPr>
      <w:r>
        <w:rPr>
          <w:rFonts w:hint="eastAsia" w:ascii="宋体" w:hAnsi="宋体"/>
          <w:sz w:val="24"/>
        </w:rPr>
        <w:t>响应供应商应完整地填写谈判文件提供的投标函、</w:t>
      </w:r>
      <w:r>
        <w:rPr>
          <w:rFonts w:hint="eastAsia" w:ascii="宋体" w:hAnsi="宋体"/>
          <w:color w:val="000000"/>
          <w:sz w:val="24"/>
        </w:rPr>
        <w:t>项目预（决）算书</w:t>
      </w:r>
      <w:r>
        <w:rPr>
          <w:rFonts w:hint="eastAsia" w:ascii="宋体" w:hAnsi="宋体"/>
          <w:sz w:val="24"/>
        </w:rPr>
        <w:t>。</w:t>
      </w:r>
    </w:p>
    <w:p>
      <w:pPr>
        <w:pStyle w:val="5"/>
        <w:numPr>
          <w:ilvl w:val="0"/>
          <w:numId w:val="2"/>
        </w:numPr>
        <w:tabs>
          <w:tab w:val="left" w:pos="945"/>
        </w:tabs>
        <w:spacing w:before="140" w:after="140" w:line="360" w:lineRule="auto"/>
        <w:rPr>
          <w:rFonts w:hAnsi="宋体"/>
          <w:sz w:val="30"/>
        </w:rPr>
      </w:pPr>
      <w:r>
        <w:rPr>
          <w:rFonts w:hint="eastAsia" w:hAnsi="宋体"/>
          <w:sz w:val="30"/>
        </w:rPr>
        <w:t>谈判报价</w:t>
      </w:r>
    </w:p>
    <w:p>
      <w:pPr>
        <w:numPr>
          <w:ilvl w:val="1"/>
          <w:numId w:val="2"/>
        </w:numPr>
        <w:spacing w:line="360" w:lineRule="auto"/>
        <w:rPr>
          <w:rFonts w:ascii="宋体" w:hAnsi="宋体"/>
          <w:sz w:val="24"/>
        </w:rPr>
      </w:pPr>
      <w:r>
        <w:rPr>
          <w:rFonts w:hint="eastAsia" w:ascii="宋体" w:hAnsi="宋体"/>
          <w:sz w:val="24"/>
        </w:rPr>
        <w:t>谈判报价应按谈判文件提供的</w:t>
      </w:r>
      <w:r>
        <w:rPr>
          <w:rFonts w:hint="eastAsia" w:ascii="宋体" w:hAnsi="宋体"/>
          <w:color w:val="000000"/>
          <w:sz w:val="24"/>
        </w:rPr>
        <w:t>资料自行编制项目预（决）算书（即工作量清单报价），详细</w:t>
      </w:r>
      <w:r>
        <w:rPr>
          <w:rFonts w:hint="eastAsia" w:ascii="宋体" w:hAnsi="宋体"/>
          <w:sz w:val="24"/>
        </w:rPr>
        <w:t>填写所投项目的分项单价和投标总价；</w:t>
      </w:r>
    </w:p>
    <w:p>
      <w:pPr>
        <w:numPr>
          <w:ilvl w:val="1"/>
          <w:numId w:val="2"/>
        </w:numPr>
        <w:spacing w:line="360" w:lineRule="auto"/>
        <w:rPr>
          <w:rFonts w:ascii="宋体" w:hAnsi="宋体"/>
          <w:sz w:val="24"/>
        </w:rPr>
      </w:pPr>
      <w:r>
        <w:rPr>
          <w:rFonts w:hint="eastAsia" w:ascii="宋体" w:hAnsi="宋体"/>
          <w:sz w:val="24"/>
        </w:rPr>
        <w:t>报价必须包括该项目包含的一切相关工作范围内的所有费用；</w:t>
      </w:r>
    </w:p>
    <w:p>
      <w:pPr>
        <w:numPr>
          <w:ilvl w:val="1"/>
          <w:numId w:val="2"/>
        </w:numPr>
        <w:spacing w:line="360" w:lineRule="auto"/>
        <w:rPr>
          <w:rFonts w:ascii="宋体" w:hAnsi="宋体"/>
          <w:sz w:val="24"/>
        </w:rPr>
      </w:pPr>
      <w:r>
        <w:rPr>
          <w:rFonts w:hint="eastAsia" w:ascii="宋体" w:hAnsi="宋体"/>
          <w:sz w:val="24"/>
        </w:rPr>
        <w:t>报价是该项目经有关职能部门验收合格后的全部含税价，响应供应商所报的价格在合同执行过程中是固定不变的，采购人不承担价格波动所产生的任何责任；</w:t>
      </w:r>
    </w:p>
    <w:p>
      <w:pPr>
        <w:numPr>
          <w:ilvl w:val="1"/>
          <w:numId w:val="2"/>
        </w:numPr>
        <w:spacing w:line="360" w:lineRule="auto"/>
        <w:rPr>
          <w:rFonts w:ascii="宋体" w:hAnsi="宋体"/>
          <w:sz w:val="24"/>
        </w:rPr>
      </w:pPr>
      <w:r>
        <w:rPr>
          <w:rFonts w:hint="eastAsia" w:ascii="宋体" w:hAnsi="宋体"/>
          <w:sz w:val="24"/>
        </w:rPr>
        <w:t>报价以人民币报价；</w:t>
      </w:r>
    </w:p>
    <w:p>
      <w:pPr>
        <w:numPr>
          <w:ilvl w:val="1"/>
          <w:numId w:val="2"/>
        </w:numPr>
        <w:spacing w:line="360" w:lineRule="auto"/>
        <w:rPr>
          <w:rFonts w:ascii="宋体" w:hAnsi="宋体"/>
          <w:sz w:val="24"/>
        </w:rPr>
      </w:pPr>
      <w:r>
        <w:rPr>
          <w:rFonts w:hint="eastAsia" w:ascii="宋体" w:hAnsi="宋体"/>
          <w:sz w:val="24"/>
        </w:rPr>
        <w:t>报价总金额应用阿拉伯数字和大写数字两种形式表示。阿拉伯数字和大写数字有不同的，以大写数字叙述为准。</w:t>
      </w:r>
    </w:p>
    <w:p>
      <w:pPr>
        <w:pStyle w:val="5"/>
        <w:numPr>
          <w:ilvl w:val="0"/>
          <w:numId w:val="2"/>
        </w:numPr>
        <w:tabs>
          <w:tab w:val="left" w:pos="810"/>
        </w:tabs>
        <w:spacing w:before="140" w:after="140" w:line="360" w:lineRule="auto"/>
        <w:rPr>
          <w:rFonts w:hAnsi="宋体"/>
          <w:sz w:val="30"/>
        </w:rPr>
      </w:pPr>
      <w:r>
        <w:rPr>
          <w:rFonts w:hint="eastAsia" w:hAnsi="宋体"/>
          <w:sz w:val="30"/>
        </w:rPr>
        <w:t>证明响应供应商合格和资格的文件</w:t>
      </w:r>
    </w:p>
    <w:p>
      <w:pPr>
        <w:numPr>
          <w:ilvl w:val="1"/>
          <w:numId w:val="2"/>
        </w:numPr>
        <w:spacing w:line="360" w:lineRule="auto"/>
        <w:rPr>
          <w:rFonts w:ascii="宋体" w:hAnsi="宋体"/>
          <w:sz w:val="24"/>
        </w:rPr>
      </w:pPr>
      <w:r>
        <w:rPr>
          <w:rFonts w:hint="eastAsia" w:ascii="宋体" w:hAnsi="宋体"/>
          <w:sz w:val="24"/>
        </w:rPr>
        <w:t>响应供应商必须提交证明其有资格进行谈判和有能力履行合同的证明文件，作为谈判响应文件的一部分。本次招标拒绝联合投标。</w:t>
      </w:r>
    </w:p>
    <w:p>
      <w:pPr>
        <w:numPr>
          <w:ilvl w:val="1"/>
          <w:numId w:val="2"/>
        </w:numPr>
        <w:spacing w:line="360" w:lineRule="auto"/>
        <w:rPr>
          <w:rFonts w:ascii="宋体" w:hAnsi="宋体"/>
          <w:sz w:val="24"/>
        </w:rPr>
      </w:pPr>
      <w:r>
        <w:rPr>
          <w:rFonts w:hint="eastAsia" w:ascii="宋体" w:hAnsi="宋体"/>
          <w:sz w:val="24"/>
        </w:rPr>
        <w:t>响应供应商提交的合格性证明文件应符合谈判文件的规定，响应供应商在谈判开始时应是合格的响应供应商。</w:t>
      </w:r>
    </w:p>
    <w:p>
      <w:pPr>
        <w:pStyle w:val="5"/>
        <w:numPr>
          <w:ilvl w:val="0"/>
          <w:numId w:val="2"/>
        </w:numPr>
        <w:tabs>
          <w:tab w:val="left" w:pos="810"/>
        </w:tabs>
        <w:spacing w:before="140" w:after="140" w:line="360" w:lineRule="auto"/>
        <w:rPr>
          <w:rFonts w:hAnsi="宋体"/>
          <w:sz w:val="30"/>
        </w:rPr>
      </w:pPr>
      <w:r>
        <w:rPr>
          <w:rFonts w:hint="eastAsia"/>
          <w:sz w:val="30"/>
        </w:rPr>
        <w:t>谈判保证金</w:t>
      </w:r>
    </w:p>
    <w:p>
      <w:pPr>
        <w:numPr>
          <w:ilvl w:val="1"/>
          <w:numId w:val="2"/>
        </w:numPr>
        <w:spacing w:line="360" w:lineRule="auto"/>
        <w:rPr>
          <w:rFonts w:ascii="宋体" w:hAnsi="宋体"/>
          <w:sz w:val="24"/>
        </w:rPr>
      </w:pPr>
      <w:r>
        <w:rPr>
          <w:rFonts w:hint="eastAsia" w:ascii="宋体" w:hAnsi="宋体"/>
          <w:sz w:val="24"/>
        </w:rPr>
        <w:t>本项目谈判保证金为人民币壹万元整（10,000.00元）。</w:t>
      </w:r>
    </w:p>
    <w:p>
      <w:pPr>
        <w:pStyle w:val="5"/>
        <w:numPr>
          <w:ilvl w:val="0"/>
          <w:numId w:val="2"/>
        </w:numPr>
        <w:tabs>
          <w:tab w:val="left" w:pos="810"/>
        </w:tabs>
        <w:spacing w:before="140" w:after="140" w:line="360" w:lineRule="auto"/>
        <w:rPr>
          <w:rFonts w:hAnsi="宋体"/>
          <w:sz w:val="30"/>
        </w:rPr>
      </w:pPr>
      <w:r>
        <w:rPr>
          <w:rFonts w:hint="eastAsia" w:hAnsi="宋体"/>
          <w:sz w:val="30"/>
        </w:rPr>
        <w:t>谈判响应文件的签署及规定</w:t>
      </w:r>
    </w:p>
    <w:p>
      <w:pPr>
        <w:numPr>
          <w:ilvl w:val="1"/>
          <w:numId w:val="2"/>
        </w:numPr>
        <w:spacing w:line="360" w:lineRule="auto"/>
        <w:rPr>
          <w:rFonts w:ascii="宋体" w:hAnsi="宋体"/>
          <w:sz w:val="24"/>
        </w:rPr>
      </w:pPr>
      <w:r>
        <w:rPr>
          <w:rFonts w:hint="eastAsia" w:ascii="宋体" w:hAnsi="宋体"/>
          <w:color w:val="000000" w:themeColor="text1"/>
          <w:sz w:val="24"/>
          <w14:textFill>
            <w14:solidFill>
              <w14:schemeClr w14:val="tx1"/>
            </w14:solidFill>
          </w14:textFill>
        </w:rPr>
        <w:t>谈判响应文件</w:t>
      </w:r>
      <w:r>
        <w:rPr>
          <w:rFonts w:hint="eastAsia" w:ascii="宋体" w:hAnsi="宋体"/>
          <w:b/>
          <w:color w:val="000000" w:themeColor="text1"/>
          <w:sz w:val="24"/>
          <w14:textFill>
            <w14:solidFill>
              <w14:schemeClr w14:val="tx1"/>
            </w14:solidFill>
          </w14:textFill>
        </w:rPr>
        <w:t>正本一份和副本</w:t>
      </w:r>
      <w:r>
        <w:rPr>
          <w:rFonts w:hint="eastAsia" w:ascii="宋体" w:hAnsi="宋体"/>
          <w:b/>
          <w:color w:val="000000" w:themeColor="text1"/>
          <w:sz w:val="24"/>
          <w:lang w:eastAsia="zh-CN"/>
          <w14:textFill>
            <w14:solidFill>
              <w14:schemeClr w14:val="tx1"/>
            </w14:solidFill>
          </w14:textFill>
        </w:rPr>
        <w:t>四</w:t>
      </w:r>
      <w:r>
        <w:rPr>
          <w:rFonts w:hint="eastAsia" w:ascii="宋体" w:hAnsi="宋体"/>
          <w:b/>
          <w:color w:val="000000" w:themeColor="text1"/>
          <w:sz w:val="24"/>
          <w14:textFill>
            <w14:solidFill>
              <w14:schemeClr w14:val="tx1"/>
            </w14:solidFill>
          </w14:textFill>
        </w:rPr>
        <w:t>份</w:t>
      </w:r>
      <w:r>
        <w:rPr>
          <w:rFonts w:hint="eastAsia" w:ascii="宋体" w:hAnsi="宋体"/>
          <w:color w:val="000000" w:themeColor="text1"/>
          <w:sz w:val="24"/>
          <w14:textFill>
            <w14:solidFill>
              <w14:schemeClr w14:val="tx1"/>
            </w14:solidFill>
          </w14:textFill>
        </w:rPr>
        <w:t>。</w:t>
      </w:r>
      <w:r>
        <w:rPr>
          <w:rFonts w:hint="eastAsia" w:ascii="宋体" w:hAnsi="宋体"/>
          <w:sz w:val="24"/>
        </w:rPr>
        <w:t>每一份谈判响应文件上要明确注明“正本”或“副本”字样。一旦正本和副本有差异，以正本为准；</w:t>
      </w:r>
    </w:p>
    <w:p>
      <w:pPr>
        <w:numPr>
          <w:ilvl w:val="1"/>
          <w:numId w:val="2"/>
        </w:numPr>
        <w:spacing w:line="360" w:lineRule="auto"/>
        <w:rPr>
          <w:rFonts w:ascii="宋体" w:hAnsi="宋体"/>
          <w:sz w:val="24"/>
        </w:rPr>
      </w:pPr>
      <w:r>
        <w:rPr>
          <w:rFonts w:hint="eastAsia" w:ascii="宋体" w:hAnsi="宋体"/>
          <w:sz w:val="24"/>
        </w:rPr>
        <w:t>谈判响应文件正本和副本须采用A4幅面白纸打印，按顺序统一编目编码并装订成一册。并由响应供应商或经正式授权并对投标人有约束力的代表签字。授权代表须将以书面形式出具的“授权证书”附在谈判响应文件中。除没有修改过的印刷文字外，谈判响应文件的每一页都应由响应供应商或其授权代表签字；</w:t>
      </w:r>
    </w:p>
    <w:p>
      <w:pPr>
        <w:numPr>
          <w:ilvl w:val="1"/>
          <w:numId w:val="2"/>
        </w:numPr>
        <w:spacing w:line="360" w:lineRule="auto"/>
        <w:rPr>
          <w:rFonts w:ascii="宋体" w:hAnsi="宋体"/>
          <w:sz w:val="24"/>
        </w:rPr>
      </w:pPr>
      <w:r>
        <w:rPr>
          <w:rFonts w:hint="eastAsia" w:ascii="宋体" w:hAnsi="宋体"/>
          <w:sz w:val="24"/>
        </w:rPr>
        <w:t>任何行间插字、涂改和增删，必须由谈判响应文件签字人在旁边签字才有效；</w:t>
      </w:r>
    </w:p>
    <w:p>
      <w:pPr>
        <w:numPr>
          <w:ilvl w:val="1"/>
          <w:numId w:val="2"/>
        </w:numPr>
        <w:spacing w:line="360" w:lineRule="auto"/>
        <w:rPr>
          <w:rFonts w:ascii="宋体" w:hAnsi="宋体"/>
          <w:sz w:val="24"/>
        </w:rPr>
      </w:pPr>
      <w:r>
        <w:rPr>
          <w:rFonts w:hint="eastAsia" w:ascii="宋体" w:hAnsi="宋体"/>
          <w:sz w:val="24"/>
        </w:rPr>
        <w:t>谈判响应文件的正、副本必须用不褪色的墨水填写或打印；</w:t>
      </w:r>
    </w:p>
    <w:p>
      <w:pPr>
        <w:numPr>
          <w:ilvl w:val="1"/>
          <w:numId w:val="2"/>
        </w:numPr>
        <w:spacing w:line="360" w:lineRule="auto"/>
        <w:rPr>
          <w:rFonts w:ascii="宋体" w:hAnsi="宋体"/>
          <w:sz w:val="24"/>
        </w:rPr>
      </w:pPr>
      <w:r>
        <w:rPr>
          <w:rFonts w:hint="eastAsia" w:ascii="宋体" w:hAnsi="宋体"/>
          <w:sz w:val="24"/>
        </w:rPr>
        <w:t>谈判响应文件因字迹潦草或表达不清所引起的后果由响应供应商负责；</w:t>
      </w:r>
    </w:p>
    <w:p>
      <w:pPr>
        <w:numPr>
          <w:ilvl w:val="1"/>
          <w:numId w:val="2"/>
        </w:numPr>
        <w:spacing w:line="360" w:lineRule="auto"/>
        <w:rPr>
          <w:rFonts w:ascii="宋体" w:hAnsi="宋体"/>
          <w:sz w:val="24"/>
        </w:rPr>
      </w:pPr>
      <w:r>
        <w:rPr>
          <w:rFonts w:hint="eastAsia" w:ascii="宋体" w:hAnsi="宋体"/>
          <w:sz w:val="24"/>
        </w:rPr>
        <w:t>电报、电话、传真等非现场形式的谈判概不接受。</w:t>
      </w:r>
    </w:p>
    <w:p>
      <w:pPr>
        <w:pStyle w:val="3"/>
        <w:spacing w:line="360" w:lineRule="auto"/>
        <w:jc w:val="center"/>
        <w:rPr>
          <w:rFonts w:ascii="宋体" w:hAnsi="宋体" w:eastAsia="宋体"/>
        </w:rPr>
      </w:pPr>
      <w:r>
        <w:rPr>
          <w:rFonts w:hint="eastAsia" w:ascii="宋体" w:hAnsi="宋体" w:eastAsia="宋体"/>
        </w:rPr>
        <w:t>Ｄ</w:t>
      </w:r>
      <w:r>
        <w:rPr>
          <w:rFonts w:ascii="宋体" w:hAnsi="宋体" w:eastAsia="宋体"/>
        </w:rPr>
        <w:t xml:space="preserve">   </w:t>
      </w:r>
      <w:r>
        <w:rPr>
          <w:rFonts w:hint="eastAsia" w:ascii="宋体" w:hAnsi="宋体" w:eastAsia="宋体"/>
        </w:rPr>
        <w:t>谈判响应文件的递交</w:t>
      </w:r>
    </w:p>
    <w:p>
      <w:pPr>
        <w:pStyle w:val="5"/>
        <w:numPr>
          <w:ilvl w:val="0"/>
          <w:numId w:val="2"/>
        </w:numPr>
        <w:tabs>
          <w:tab w:val="left" w:pos="810"/>
        </w:tabs>
        <w:spacing w:line="360" w:lineRule="auto"/>
        <w:rPr>
          <w:rFonts w:hAnsi="宋体"/>
          <w:sz w:val="30"/>
        </w:rPr>
      </w:pPr>
      <w:r>
        <w:rPr>
          <w:rFonts w:hint="eastAsia" w:hAnsi="宋体"/>
          <w:sz w:val="30"/>
        </w:rPr>
        <w:t>谈判响应文件的密封和标记</w:t>
      </w:r>
    </w:p>
    <w:p>
      <w:pPr>
        <w:numPr>
          <w:ilvl w:val="1"/>
          <w:numId w:val="2"/>
        </w:numPr>
        <w:spacing w:line="360" w:lineRule="auto"/>
        <w:rPr>
          <w:rFonts w:ascii="宋体" w:hAnsi="宋体"/>
          <w:sz w:val="24"/>
        </w:rPr>
      </w:pPr>
      <w:r>
        <w:rPr>
          <w:rFonts w:hint="eastAsia" w:ascii="宋体" w:hAnsi="宋体"/>
          <w:sz w:val="24"/>
        </w:rPr>
        <w:t>响应供应商应将谈判响应文件正本和副本分别用牛皮纸袋密封，在密封袋上标明项目编号、投标项目名称、投标人名称，并注明“正本”或“副本”。</w:t>
      </w:r>
    </w:p>
    <w:p>
      <w:pPr>
        <w:numPr>
          <w:ilvl w:val="1"/>
          <w:numId w:val="2"/>
        </w:numPr>
        <w:spacing w:line="360" w:lineRule="auto"/>
        <w:rPr>
          <w:rFonts w:ascii="宋体" w:hAnsi="宋体"/>
          <w:sz w:val="24"/>
        </w:rPr>
      </w:pPr>
      <w:r>
        <w:rPr>
          <w:rFonts w:hint="eastAsia" w:ascii="宋体" w:hAnsi="宋体"/>
          <w:sz w:val="24"/>
        </w:rPr>
        <w:t>谈判响应文件每一密封件封口上应注明“于</w:t>
      </w:r>
      <w:r>
        <w:rPr>
          <w:rFonts w:hint="eastAsia" w:ascii="宋体" w:hAnsi="宋体"/>
          <w:color w:val="000000" w:themeColor="text1"/>
          <w:sz w:val="24"/>
          <w14:textFill>
            <w14:solidFill>
              <w14:schemeClr w14:val="tx1"/>
            </w14:solidFill>
          </w14:textFill>
        </w:rPr>
        <w:t>2019年</w:t>
      </w:r>
      <w:r>
        <w:rPr>
          <w:rFonts w:hint="eastAsia" w:ascii="宋体" w:hAnsi="宋体"/>
          <w:color w:val="000000" w:themeColor="text1"/>
          <w:sz w:val="24"/>
          <w:lang w:val="en-US" w:eastAsia="zh-CN"/>
          <w14:textFill>
            <w14:solidFill>
              <w14:schemeClr w14:val="tx1"/>
            </w14:solidFill>
          </w14:textFill>
        </w:rPr>
        <w:t>7</w:t>
      </w:r>
      <w:r>
        <w:rPr>
          <w:rFonts w:hint="eastAsia" w:ascii="宋体" w:hAnsi="宋体"/>
          <w:color w:val="000000" w:themeColor="text1"/>
          <w:sz w:val="24"/>
          <w14:textFill>
            <w14:solidFill>
              <w14:schemeClr w14:val="tx1"/>
            </w14:solidFill>
          </w14:textFill>
        </w:rPr>
        <w:t>月</w:t>
      </w:r>
      <w:r>
        <w:rPr>
          <w:rFonts w:hint="eastAsia" w:ascii="宋体" w:hAnsi="宋体"/>
          <w:color w:val="000000" w:themeColor="text1"/>
          <w:sz w:val="24"/>
          <w:lang w:val="en-US" w:eastAsia="zh-CN"/>
          <w14:textFill>
            <w14:solidFill>
              <w14:schemeClr w14:val="tx1"/>
            </w14:solidFill>
          </w14:textFill>
        </w:rPr>
        <w:t>19</w:t>
      </w:r>
      <w:r>
        <w:rPr>
          <w:rFonts w:hint="eastAsia" w:ascii="宋体" w:hAnsi="宋体"/>
          <w:color w:val="000000" w:themeColor="text1"/>
          <w:sz w:val="24"/>
          <w14:textFill>
            <w14:solidFill>
              <w14:schemeClr w14:val="tx1"/>
            </w14:solidFill>
          </w14:textFill>
        </w:rPr>
        <w:t>日上午</w:t>
      </w:r>
      <w:r>
        <w:rPr>
          <w:rFonts w:hint="eastAsia" w:ascii="宋体" w:hAnsi="宋体"/>
          <w:color w:val="000000" w:themeColor="text1"/>
          <w:sz w:val="24"/>
          <w:lang w:val="en-US" w:eastAsia="zh-CN"/>
          <w14:textFill>
            <w14:solidFill>
              <w14:schemeClr w14:val="tx1"/>
            </w14:solidFill>
          </w14:textFill>
        </w:rPr>
        <w:t>8</w:t>
      </w:r>
      <w:r>
        <w:rPr>
          <w:rFonts w:hint="eastAsia" w:ascii="宋体" w:hAnsi="宋体"/>
          <w:color w:val="000000" w:themeColor="text1"/>
          <w:sz w:val="24"/>
          <w14:textFill>
            <w14:solidFill>
              <w14:schemeClr w14:val="tx1"/>
            </w14:solidFill>
          </w14:textFill>
        </w:rPr>
        <w:t>:</w:t>
      </w:r>
      <w:r>
        <w:rPr>
          <w:rFonts w:hint="eastAsia" w:ascii="宋体" w:hAnsi="宋体"/>
          <w:color w:val="000000" w:themeColor="text1"/>
          <w:sz w:val="24"/>
          <w:lang w:val="en-US" w:eastAsia="zh-CN"/>
          <w14:textFill>
            <w14:solidFill>
              <w14:schemeClr w14:val="tx1"/>
            </w14:solidFill>
          </w14:textFill>
        </w:rPr>
        <w:t>3</w:t>
      </w:r>
      <w:r>
        <w:rPr>
          <w:rFonts w:hint="eastAsia" w:ascii="宋体" w:hAnsi="宋体"/>
          <w:color w:val="000000" w:themeColor="text1"/>
          <w:sz w:val="24"/>
          <w14:textFill>
            <w14:solidFill>
              <w14:schemeClr w14:val="tx1"/>
            </w14:solidFill>
          </w14:textFill>
        </w:rPr>
        <w:t>0</w:t>
      </w:r>
      <w:r>
        <w:rPr>
          <w:rFonts w:hint="eastAsia" w:ascii="宋体" w:hAnsi="宋体"/>
          <w:sz w:val="24"/>
        </w:rPr>
        <w:t>之前不准启封”的字样，并加盖骑缝章。</w:t>
      </w:r>
    </w:p>
    <w:p>
      <w:pPr>
        <w:numPr>
          <w:ilvl w:val="1"/>
          <w:numId w:val="2"/>
        </w:numPr>
        <w:spacing w:line="360" w:lineRule="auto"/>
        <w:rPr>
          <w:rFonts w:ascii="宋体" w:hAnsi="宋体"/>
          <w:sz w:val="24"/>
        </w:rPr>
      </w:pPr>
      <w:r>
        <w:rPr>
          <w:rFonts w:hint="eastAsia" w:ascii="宋体" w:hAnsi="宋体"/>
          <w:sz w:val="24"/>
        </w:rPr>
        <w:t>谈判响应文件需由专人送交。响应供应商应按上述规定进行密封和标记后，将谈判响应文件按照谈判文件中注明的开标时间和地址送至谈判代理机构。</w:t>
      </w:r>
    </w:p>
    <w:p>
      <w:pPr>
        <w:numPr>
          <w:ilvl w:val="1"/>
          <w:numId w:val="2"/>
        </w:numPr>
        <w:spacing w:line="360" w:lineRule="auto"/>
        <w:rPr>
          <w:rFonts w:ascii="宋体" w:hAnsi="宋体"/>
          <w:sz w:val="24"/>
        </w:rPr>
      </w:pPr>
      <w:r>
        <w:rPr>
          <w:rFonts w:hint="eastAsia" w:ascii="宋体" w:hAnsi="宋体"/>
          <w:sz w:val="24"/>
        </w:rPr>
        <w:t>如果未按上述规定进行密封和标记，采购人对谈判响应文件的误投或提前拆封不负责任。</w:t>
      </w:r>
    </w:p>
    <w:p>
      <w:pPr>
        <w:pStyle w:val="5"/>
        <w:numPr>
          <w:ilvl w:val="0"/>
          <w:numId w:val="2"/>
        </w:numPr>
        <w:tabs>
          <w:tab w:val="left" w:pos="810"/>
        </w:tabs>
        <w:spacing w:line="360" w:lineRule="auto"/>
        <w:rPr>
          <w:rFonts w:hAnsi="宋体"/>
          <w:sz w:val="30"/>
        </w:rPr>
      </w:pPr>
      <w:r>
        <w:rPr>
          <w:rFonts w:hint="eastAsia" w:hAnsi="宋体"/>
          <w:sz w:val="30"/>
        </w:rPr>
        <w:t>递交谈判响应文件的时间、地点以及截止时间</w:t>
      </w:r>
    </w:p>
    <w:p>
      <w:pPr>
        <w:numPr>
          <w:ilvl w:val="1"/>
          <w:numId w:val="2"/>
        </w:numPr>
        <w:spacing w:line="360" w:lineRule="auto"/>
        <w:rPr>
          <w:rFonts w:ascii="宋体" w:hAnsi="宋体"/>
          <w:sz w:val="24"/>
        </w:rPr>
      </w:pPr>
      <w:r>
        <w:rPr>
          <w:rFonts w:hint="eastAsia" w:ascii="宋体" w:hAnsi="宋体"/>
          <w:sz w:val="24"/>
        </w:rPr>
        <w:t>递交谈判响应文件的地点与谈判的地点相同。</w:t>
      </w:r>
    </w:p>
    <w:p>
      <w:pPr>
        <w:numPr>
          <w:ilvl w:val="1"/>
          <w:numId w:val="2"/>
        </w:numPr>
        <w:spacing w:line="360" w:lineRule="auto"/>
        <w:rPr>
          <w:rFonts w:ascii="宋体" w:hAnsi="宋体"/>
          <w:sz w:val="24"/>
        </w:rPr>
      </w:pPr>
      <w:r>
        <w:rPr>
          <w:rFonts w:hint="eastAsia" w:ascii="宋体" w:hAnsi="宋体"/>
          <w:sz w:val="24"/>
        </w:rPr>
        <w:t>谈判时间：2019年7月19日上午8:30时整。</w:t>
      </w:r>
    </w:p>
    <w:p>
      <w:pPr>
        <w:spacing w:line="340" w:lineRule="exact"/>
        <w:ind w:firstLine="1200" w:firstLineChars="500"/>
        <w:rPr>
          <w:rFonts w:ascii="宋体" w:hAnsi="宋体"/>
          <w:sz w:val="24"/>
        </w:rPr>
      </w:pPr>
      <w:r>
        <w:rPr>
          <w:rFonts w:hint="eastAsia" w:ascii="宋体" w:hAnsi="宋体"/>
          <w:sz w:val="24"/>
        </w:rPr>
        <w:t>谈判地点：</w:t>
      </w:r>
      <w:r>
        <w:rPr>
          <w:rFonts w:hint="eastAsia" w:ascii="宋体" w:hAnsi="宋体"/>
          <w:szCs w:val="21"/>
        </w:rPr>
        <w:t>恩施大峡谷旅游开发有限公司办公大楼四楼会议室</w:t>
      </w:r>
    </w:p>
    <w:p>
      <w:pPr>
        <w:numPr>
          <w:ilvl w:val="1"/>
          <w:numId w:val="2"/>
        </w:numPr>
        <w:spacing w:line="360" w:lineRule="auto"/>
        <w:rPr>
          <w:rFonts w:ascii="宋体" w:hAnsi="宋体"/>
          <w:sz w:val="24"/>
        </w:rPr>
      </w:pPr>
      <w:r>
        <w:rPr>
          <w:rFonts w:hint="eastAsia" w:ascii="宋体" w:hAnsi="宋体"/>
          <w:sz w:val="24"/>
        </w:rPr>
        <w:t>提前递交或不符合规定的谈判响应文件恕不接受。</w:t>
      </w:r>
    </w:p>
    <w:p>
      <w:pPr>
        <w:numPr>
          <w:ilvl w:val="1"/>
          <w:numId w:val="2"/>
        </w:numPr>
        <w:spacing w:line="360" w:lineRule="auto"/>
        <w:rPr>
          <w:rFonts w:ascii="宋体" w:hAnsi="宋体"/>
          <w:sz w:val="24"/>
        </w:rPr>
      </w:pPr>
      <w:r>
        <w:rPr>
          <w:rFonts w:hint="eastAsia" w:ascii="宋体" w:hAnsi="宋体"/>
          <w:sz w:val="24"/>
        </w:rPr>
        <w:t>所有谈判响应文件都必须按采购人规定的谈判开始时间之前送至谈判代理部门。</w:t>
      </w:r>
    </w:p>
    <w:p>
      <w:pPr>
        <w:pStyle w:val="5"/>
        <w:numPr>
          <w:ilvl w:val="0"/>
          <w:numId w:val="2"/>
        </w:numPr>
        <w:tabs>
          <w:tab w:val="left" w:pos="810"/>
        </w:tabs>
        <w:spacing w:before="140" w:after="140" w:line="360" w:lineRule="auto"/>
        <w:rPr>
          <w:rFonts w:hAnsi="宋体"/>
          <w:sz w:val="30"/>
        </w:rPr>
      </w:pPr>
      <w:r>
        <w:rPr>
          <w:rFonts w:hint="eastAsia" w:hAnsi="宋体"/>
          <w:sz w:val="30"/>
        </w:rPr>
        <w:t>迟交的</w:t>
      </w:r>
      <w:r>
        <w:rPr>
          <w:rFonts w:hint="eastAsia" w:hAnsi="宋体"/>
        </w:rPr>
        <w:t>谈判响应文件</w:t>
      </w:r>
    </w:p>
    <w:p>
      <w:pPr>
        <w:numPr>
          <w:ilvl w:val="1"/>
          <w:numId w:val="2"/>
        </w:numPr>
        <w:spacing w:line="360" w:lineRule="auto"/>
        <w:rPr>
          <w:rFonts w:ascii="宋体" w:hAnsi="宋体"/>
          <w:sz w:val="24"/>
        </w:rPr>
      </w:pPr>
      <w:r>
        <w:rPr>
          <w:rFonts w:hint="eastAsia" w:ascii="宋体" w:hAnsi="宋体"/>
          <w:sz w:val="24"/>
        </w:rPr>
        <w:t>采购人拒绝接收在谈判开始时间后递交的谈判响应文件。</w:t>
      </w:r>
    </w:p>
    <w:p>
      <w:pPr>
        <w:pStyle w:val="3"/>
        <w:spacing w:line="360" w:lineRule="auto"/>
        <w:jc w:val="center"/>
        <w:rPr>
          <w:rFonts w:ascii="宋体" w:hAnsi="宋体" w:eastAsia="宋体"/>
        </w:rPr>
      </w:pPr>
      <w:r>
        <w:rPr>
          <w:rFonts w:hint="eastAsia" w:ascii="宋体" w:hAnsi="宋体" w:eastAsia="宋体"/>
        </w:rPr>
        <w:t>Ｅ</w:t>
      </w:r>
      <w:r>
        <w:rPr>
          <w:rFonts w:ascii="宋体" w:hAnsi="宋体" w:eastAsia="宋体"/>
        </w:rPr>
        <w:t xml:space="preserve">   </w:t>
      </w:r>
      <w:r>
        <w:rPr>
          <w:rFonts w:hint="eastAsia" w:ascii="宋体" w:hAnsi="宋体" w:eastAsia="宋体"/>
        </w:rPr>
        <w:t>谈判</w:t>
      </w:r>
    </w:p>
    <w:p>
      <w:pPr>
        <w:pStyle w:val="5"/>
        <w:numPr>
          <w:ilvl w:val="0"/>
          <w:numId w:val="2"/>
        </w:numPr>
        <w:tabs>
          <w:tab w:val="left" w:pos="810"/>
        </w:tabs>
        <w:spacing w:before="140" w:after="140" w:line="360" w:lineRule="auto"/>
        <w:rPr>
          <w:rFonts w:hAnsi="宋体"/>
          <w:sz w:val="30"/>
        </w:rPr>
      </w:pPr>
      <w:r>
        <w:rPr>
          <w:rFonts w:hint="eastAsia" w:hAnsi="宋体"/>
          <w:sz w:val="30"/>
        </w:rPr>
        <w:t>谈判小组</w:t>
      </w:r>
    </w:p>
    <w:p>
      <w:pPr>
        <w:numPr>
          <w:ilvl w:val="1"/>
          <w:numId w:val="2"/>
        </w:numPr>
        <w:spacing w:line="360" w:lineRule="auto"/>
        <w:rPr>
          <w:rFonts w:ascii="宋体" w:hAnsi="宋体"/>
          <w:sz w:val="24"/>
        </w:rPr>
      </w:pPr>
      <w:r>
        <w:rPr>
          <w:rFonts w:hint="eastAsia" w:ascii="宋体" w:hAnsi="宋体"/>
          <w:sz w:val="24"/>
        </w:rPr>
        <w:t>采购人按谈判文件规定的时间、地点组织谈判，参加谈判的人员应签名报到以证明其出席。</w:t>
      </w:r>
    </w:p>
    <w:p>
      <w:pPr>
        <w:numPr>
          <w:ilvl w:val="1"/>
          <w:numId w:val="2"/>
        </w:numPr>
        <w:spacing w:line="360" w:lineRule="auto"/>
        <w:rPr>
          <w:rFonts w:ascii="宋体" w:hAnsi="宋体"/>
          <w:sz w:val="24"/>
        </w:rPr>
      </w:pPr>
      <w:r>
        <w:rPr>
          <w:rFonts w:hint="eastAsia" w:ascii="宋体" w:hAnsi="宋体"/>
          <w:sz w:val="24"/>
        </w:rPr>
        <w:t>采购人将根据本项目工程的特点以</w:t>
      </w:r>
      <w:r>
        <w:rPr>
          <w:rFonts w:hint="eastAsia" w:ascii="宋体" w:hAnsi="宋体"/>
          <w:color w:val="000000"/>
          <w:sz w:val="24"/>
        </w:rPr>
        <w:t>随机抽取</w:t>
      </w:r>
      <w:r>
        <w:rPr>
          <w:rFonts w:hint="eastAsia" w:ascii="宋体" w:hAnsi="宋体"/>
          <w:sz w:val="24"/>
        </w:rPr>
        <w:t>的方式组建谈判小组，谈判小组由采购单位代表、专家组成。谈判小组各成员将在纪检监督管理部门的监督下遵照公平、公正、合理的评标原则，独立对谈判响应文件进行审查和比较，公正、公平地对待所有的响应供应商。</w:t>
      </w:r>
    </w:p>
    <w:p>
      <w:pPr>
        <w:pStyle w:val="5"/>
        <w:numPr>
          <w:ilvl w:val="0"/>
          <w:numId w:val="2"/>
        </w:numPr>
        <w:tabs>
          <w:tab w:val="left" w:pos="810"/>
        </w:tabs>
        <w:spacing w:before="140" w:after="140" w:line="360" w:lineRule="auto"/>
        <w:rPr>
          <w:rFonts w:hAnsi="宋体"/>
          <w:sz w:val="30"/>
        </w:rPr>
      </w:pPr>
      <w:r>
        <w:rPr>
          <w:rFonts w:hint="eastAsia" w:hAnsi="宋体"/>
          <w:sz w:val="30"/>
        </w:rPr>
        <w:t>谈判工作基本原则</w:t>
      </w:r>
    </w:p>
    <w:p>
      <w:pPr>
        <w:numPr>
          <w:ilvl w:val="1"/>
          <w:numId w:val="2"/>
        </w:numPr>
        <w:spacing w:line="360" w:lineRule="auto"/>
        <w:rPr>
          <w:rFonts w:ascii="宋体" w:hAnsi="宋体"/>
          <w:sz w:val="24"/>
        </w:rPr>
      </w:pPr>
      <w:r>
        <w:rPr>
          <w:rFonts w:hint="eastAsia" w:ascii="宋体" w:hAnsi="宋体"/>
          <w:sz w:val="24"/>
        </w:rPr>
        <w:t>遵循国家和湖北省的有关法律、法规；</w:t>
      </w:r>
    </w:p>
    <w:p>
      <w:pPr>
        <w:numPr>
          <w:ilvl w:val="1"/>
          <w:numId w:val="2"/>
        </w:numPr>
        <w:spacing w:line="360" w:lineRule="auto"/>
        <w:rPr>
          <w:rFonts w:ascii="宋体" w:hAnsi="宋体"/>
          <w:sz w:val="24"/>
        </w:rPr>
      </w:pPr>
      <w:r>
        <w:rPr>
          <w:rFonts w:hint="eastAsia" w:ascii="宋体" w:hAnsi="宋体"/>
          <w:sz w:val="24"/>
        </w:rPr>
        <w:t>保护采购人的合法权利；</w:t>
      </w:r>
    </w:p>
    <w:p>
      <w:pPr>
        <w:numPr>
          <w:ilvl w:val="1"/>
          <w:numId w:val="2"/>
        </w:numPr>
        <w:spacing w:line="360" w:lineRule="auto"/>
        <w:rPr>
          <w:rFonts w:ascii="宋体" w:hAnsi="宋体"/>
          <w:sz w:val="24"/>
        </w:rPr>
      </w:pPr>
      <w:r>
        <w:rPr>
          <w:rFonts w:hint="eastAsia" w:ascii="宋体" w:hAnsi="宋体"/>
          <w:sz w:val="24"/>
        </w:rPr>
        <w:t>客观、公正地对待所有响应供应商，坚持事实求是、公平竞争的原则；</w:t>
      </w:r>
    </w:p>
    <w:p>
      <w:pPr>
        <w:numPr>
          <w:ilvl w:val="1"/>
          <w:numId w:val="2"/>
        </w:numPr>
        <w:spacing w:line="360" w:lineRule="auto"/>
        <w:rPr>
          <w:rFonts w:ascii="宋体" w:hAnsi="宋体"/>
          <w:sz w:val="24"/>
        </w:rPr>
      </w:pPr>
      <w:r>
        <w:rPr>
          <w:rFonts w:hint="eastAsia" w:ascii="宋体" w:hAnsi="宋体"/>
          <w:sz w:val="24"/>
        </w:rPr>
        <w:t>以谈判文件和谈判响应文件作为谈判的基本依据，确定成交供应商；</w:t>
      </w:r>
    </w:p>
    <w:p>
      <w:pPr>
        <w:pStyle w:val="5"/>
        <w:numPr>
          <w:ilvl w:val="0"/>
          <w:numId w:val="2"/>
        </w:numPr>
        <w:tabs>
          <w:tab w:val="left" w:pos="810"/>
        </w:tabs>
        <w:spacing w:before="140" w:after="140" w:line="360" w:lineRule="auto"/>
        <w:rPr>
          <w:rFonts w:hAnsi="宋体"/>
          <w:sz w:val="30"/>
        </w:rPr>
      </w:pPr>
      <w:r>
        <w:rPr>
          <w:rFonts w:hint="eastAsia" w:hAnsi="宋体"/>
          <w:sz w:val="30"/>
        </w:rPr>
        <w:t>保密及其它注意事项</w:t>
      </w:r>
    </w:p>
    <w:p>
      <w:pPr>
        <w:numPr>
          <w:ilvl w:val="1"/>
          <w:numId w:val="2"/>
        </w:numPr>
        <w:spacing w:line="360" w:lineRule="auto"/>
        <w:rPr>
          <w:rFonts w:ascii="宋体" w:hAnsi="宋体"/>
          <w:sz w:val="24"/>
        </w:rPr>
      </w:pPr>
      <w:r>
        <w:rPr>
          <w:rFonts w:hint="eastAsia" w:ascii="宋体" w:hAnsi="宋体"/>
          <w:sz w:val="24"/>
        </w:rPr>
        <w:t>在谈判期间，响应供应商不得向谈判小组成员询问谈判情况，不得进行旨在影响成交结果的活动。</w:t>
      </w:r>
    </w:p>
    <w:p>
      <w:pPr>
        <w:numPr>
          <w:ilvl w:val="1"/>
          <w:numId w:val="2"/>
        </w:numPr>
        <w:spacing w:line="360" w:lineRule="auto"/>
        <w:rPr>
          <w:rFonts w:ascii="宋体" w:hAnsi="宋体"/>
          <w:sz w:val="24"/>
        </w:rPr>
      </w:pPr>
      <w:r>
        <w:rPr>
          <w:rFonts w:hint="eastAsia" w:ascii="宋体" w:hAnsi="宋体"/>
          <w:sz w:val="24"/>
        </w:rPr>
        <w:t>为保证成交的公正性，在谈判过程中，谈判小组成员不得与响应供应商私下交换意见。在谈判工作结束后，凡与谈判情况有接触的任何人，不得也不应将谈判情况扩散出谈判小组成员之外。</w:t>
      </w:r>
    </w:p>
    <w:p>
      <w:pPr>
        <w:numPr>
          <w:ilvl w:val="1"/>
          <w:numId w:val="2"/>
        </w:numPr>
        <w:spacing w:line="360" w:lineRule="auto"/>
        <w:rPr>
          <w:rFonts w:ascii="宋体" w:hAnsi="宋体"/>
          <w:sz w:val="24"/>
        </w:rPr>
      </w:pPr>
      <w:r>
        <w:rPr>
          <w:rFonts w:hint="eastAsia" w:ascii="宋体" w:hAnsi="宋体"/>
          <w:sz w:val="24"/>
        </w:rPr>
        <w:t>谈判小组不向未成交供应商解释未成交原因，不退还谈判响应文件。</w:t>
      </w:r>
    </w:p>
    <w:p>
      <w:pPr>
        <w:pStyle w:val="5"/>
        <w:numPr>
          <w:ilvl w:val="0"/>
          <w:numId w:val="2"/>
        </w:numPr>
        <w:tabs>
          <w:tab w:val="left" w:pos="810"/>
        </w:tabs>
        <w:spacing w:before="140" w:after="140" w:line="360" w:lineRule="auto"/>
        <w:rPr>
          <w:rFonts w:hAnsi="宋体"/>
          <w:sz w:val="30"/>
        </w:rPr>
      </w:pPr>
      <w:r>
        <w:rPr>
          <w:rFonts w:hint="eastAsia" w:hAnsi="宋体"/>
          <w:sz w:val="30"/>
        </w:rPr>
        <w:t>询标及</w:t>
      </w:r>
      <w:r>
        <w:rPr>
          <w:rFonts w:hint="eastAsia" w:hAnsi="宋体"/>
        </w:rPr>
        <w:t>谈判响应文件的澄清</w:t>
      </w:r>
    </w:p>
    <w:p>
      <w:pPr>
        <w:pStyle w:val="10"/>
        <w:numPr>
          <w:ilvl w:val="1"/>
          <w:numId w:val="2"/>
        </w:numPr>
        <w:spacing w:line="360" w:lineRule="auto"/>
        <w:rPr>
          <w:rFonts w:hAnsi="宋体"/>
          <w:sz w:val="24"/>
        </w:rPr>
      </w:pPr>
      <w:r>
        <w:rPr>
          <w:rFonts w:hint="eastAsia" w:hAnsi="宋体"/>
          <w:sz w:val="24"/>
        </w:rPr>
        <w:t>询标是谈判中的重要环节，响应供应商代表必须接受谈判小组的询标。谈判小组对谈判响应文件进行审查、质疑、评估和比较，并可自行要求响应供应商对其谈判响应文件内容进行澄清。响应供应商有责任按照采购人通知的时间、地点，指派专人进行认真的答疑和澄清。响应供应商所作的答复均应补充以书面形式，并经法定代表人或授权人签署，作为谈判响应文件的一部分，对响应供应商有约束力。</w:t>
      </w:r>
    </w:p>
    <w:p>
      <w:pPr>
        <w:pStyle w:val="5"/>
        <w:numPr>
          <w:ilvl w:val="0"/>
          <w:numId w:val="2"/>
        </w:numPr>
        <w:tabs>
          <w:tab w:val="left" w:pos="810"/>
        </w:tabs>
        <w:spacing w:before="140" w:after="140" w:line="360" w:lineRule="auto"/>
        <w:rPr>
          <w:rFonts w:hAnsi="宋体"/>
          <w:sz w:val="30"/>
        </w:rPr>
      </w:pPr>
      <w:r>
        <w:rPr>
          <w:rFonts w:hint="eastAsia" w:hAnsi="宋体"/>
          <w:sz w:val="30"/>
        </w:rPr>
        <w:t>谈判程序</w:t>
      </w:r>
    </w:p>
    <w:p>
      <w:pPr>
        <w:numPr>
          <w:ilvl w:val="1"/>
          <w:numId w:val="2"/>
        </w:numPr>
        <w:spacing w:line="360" w:lineRule="auto"/>
        <w:ind w:left="1078" w:hanging="794"/>
        <w:rPr>
          <w:rFonts w:ascii="宋体" w:hAnsi="宋体"/>
          <w:sz w:val="24"/>
        </w:rPr>
      </w:pPr>
      <w:r>
        <w:rPr>
          <w:rFonts w:hint="eastAsia" w:ascii="宋体" w:hAnsi="宋体"/>
          <w:sz w:val="24"/>
        </w:rPr>
        <w:t>在谈判会议开始后，谈判小组对各响应供应商确认其身份资格；</w:t>
      </w:r>
    </w:p>
    <w:p>
      <w:pPr>
        <w:numPr>
          <w:ilvl w:val="1"/>
          <w:numId w:val="2"/>
        </w:numPr>
        <w:spacing w:line="360" w:lineRule="auto"/>
        <w:ind w:left="1078" w:hanging="794"/>
        <w:rPr>
          <w:rFonts w:ascii="宋体" w:hAnsi="宋体"/>
          <w:sz w:val="24"/>
        </w:rPr>
      </w:pPr>
      <w:r>
        <w:rPr>
          <w:rFonts w:hint="eastAsia" w:ascii="宋体" w:hAnsi="宋体"/>
          <w:sz w:val="24"/>
        </w:rPr>
        <w:t>谈判小组人员对响应供应商的资质进行初审，初审通过的采用综合评估法，由谈判小组人员独立评分，审查谈判响应文件是否实质性响应了谈判文件，确定合格供应商，并做现场记录；</w:t>
      </w:r>
    </w:p>
    <w:p>
      <w:pPr>
        <w:pStyle w:val="10"/>
        <w:numPr>
          <w:ilvl w:val="1"/>
          <w:numId w:val="2"/>
        </w:numPr>
        <w:spacing w:line="360" w:lineRule="auto"/>
        <w:ind w:left="1078" w:hanging="794"/>
        <w:rPr>
          <w:rFonts w:hAnsi="宋体"/>
          <w:sz w:val="24"/>
        </w:rPr>
      </w:pPr>
      <w:r>
        <w:rPr>
          <w:rFonts w:hint="eastAsia" w:ascii="仿宋_GB2312"/>
          <w:sz w:val="24"/>
        </w:rPr>
        <w:t>谈判小组所有成员将与合格</w:t>
      </w:r>
      <w:r>
        <w:rPr>
          <w:rFonts w:hint="eastAsia" w:hAnsi="宋体"/>
          <w:sz w:val="24"/>
        </w:rPr>
        <w:t>响应供应商</w:t>
      </w:r>
      <w:r>
        <w:rPr>
          <w:rFonts w:hint="eastAsia" w:ascii="仿宋_GB2312"/>
          <w:sz w:val="24"/>
        </w:rPr>
        <w:t>分别进行谈判；</w:t>
      </w:r>
    </w:p>
    <w:p>
      <w:pPr>
        <w:pStyle w:val="10"/>
        <w:numPr>
          <w:ilvl w:val="1"/>
          <w:numId w:val="2"/>
        </w:numPr>
        <w:spacing w:line="360" w:lineRule="auto"/>
        <w:ind w:left="1078" w:hanging="794"/>
        <w:rPr>
          <w:rFonts w:hAnsi="宋体"/>
          <w:sz w:val="24"/>
          <w:szCs w:val="24"/>
        </w:rPr>
      </w:pPr>
      <w:r>
        <w:rPr>
          <w:rFonts w:hint="eastAsia" w:ascii="楷体_GB2312"/>
          <w:sz w:val="24"/>
          <w:szCs w:val="24"/>
        </w:rPr>
        <w:t>第一轮谈判结束后，谈判小组确定入围响应供应商，并要求所有参加谈判的入围响应供应商在规定的时间内作最后报价。</w:t>
      </w:r>
      <w:r>
        <w:rPr>
          <w:rFonts w:hint="eastAsia" w:hAnsi="宋体"/>
          <w:sz w:val="24"/>
          <w:szCs w:val="24"/>
        </w:rPr>
        <w:t>若</w:t>
      </w:r>
      <w:r>
        <w:rPr>
          <w:rFonts w:hint="eastAsia" w:ascii="楷体_GB2312"/>
          <w:sz w:val="24"/>
          <w:szCs w:val="24"/>
        </w:rPr>
        <w:t>谈判小组未能确定入围响应供应商的，谈判小组可对谈判文件进行修正，并要求所有参加谈判的合格响应供应商按照修正后的谈判文件在规定的时间内对谈判响应文件进行修正，逾时不交的，视同放弃谈判</w:t>
      </w:r>
      <w:r>
        <w:rPr>
          <w:rFonts w:hint="eastAsia" w:hAnsi="宋体"/>
          <w:sz w:val="24"/>
          <w:szCs w:val="24"/>
        </w:rPr>
        <w:t>；</w:t>
      </w:r>
    </w:p>
    <w:p>
      <w:pPr>
        <w:pStyle w:val="10"/>
        <w:numPr>
          <w:ilvl w:val="1"/>
          <w:numId w:val="2"/>
        </w:numPr>
        <w:spacing w:line="360" w:lineRule="auto"/>
        <w:ind w:left="1078" w:hanging="794"/>
        <w:rPr>
          <w:rFonts w:hAnsi="宋体"/>
          <w:sz w:val="24"/>
          <w:szCs w:val="24"/>
        </w:rPr>
      </w:pPr>
      <w:r>
        <w:rPr>
          <w:rFonts w:hint="eastAsia" w:hAnsi="宋体"/>
          <w:sz w:val="24"/>
          <w:szCs w:val="24"/>
        </w:rPr>
        <w:t>第二轮谈判</w:t>
      </w:r>
    </w:p>
    <w:p>
      <w:pPr>
        <w:pStyle w:val="10"/>
        <w:spacing w:line="360" w:lineRule="auto"/>
        <w:ind w:left="1078"/>
        <w:rPr>
          <w:rFonts w:hAnsi="宋体"/>
          <w:sz w:val="24"/>
          <w:szCs w:val="24"/>
        </w:rPr>
      </w:pPr>
      <w:r>
        <w:rPr>
          <w:rFonts w:hint="eastAsia" w:hAnsi="宋体"/>
          <w:sz w:val="24"/>
          <w:szCs w:val="24"/>
        </w:rPr>
        <w:t>谈判小组就修正后的响应文件与合格响应供应商分别进行谈判，第二轮谈判仍未能确定入围响应供应商的，谈判小组对谈判文件进行修正后进行第三轮谈判。以此类推。</w:t>
      </w:r>
    </w:p>
    <w:p>
      <w:pPr>
        <w:pStyle w:val="10"/>
        <w:numPr>
          <w:ilvl w:val="1"/>
          <w:numId w:val="2"/>
        </w:numPr>
        <w:spacing w:line="360" w:lineRule="auto"/>
        <w:rPr>
          <w:rFonts w:hAnsi="宋体"/>
          <w:sz w:val="24"/>
        </w:rPr>
      </w:pPr>
      <w:r>
        <w:rPr>
          <w:rFonts w:hint="eastAsia" w:ascii="楷体_GB2312"/>
          <w:sz w:val="24"/>
          <w:szCs w:val="24"/>
        </w:rPr>
        <w:t>按照响应供应商提交的最后修订的谈判文件的谈判响应文件，入围响应供应商在规定的时间内作最后报价，报价最低的入围谈判响应供应商确定为成交候选人。</w:t>
      </w:r>
    </w:p>
    <w:p>
      <w:pPr>
        <w:pStyle w:val="5"/>
        <w:numPr>
          <w:ilvl w:val="0"/>
          <w:numId w:val="2"/>
        </w:numPr>
        <w:tabs>
          <w:tab w:val="left" w:pos="810"/>
        </w:tabs>
        <w:spacing w:before="140" w:after="140" w:line="360" w:lineRule="auto"/>
        <w:rPr>
          <w:rFonts w:hAnsi="宋体"/>
          <w:sz w:val="30"/>
        </w:rPr>
      </w:pPr>
      <w:r>
        <w:rPr>
          <w:rFonts w:hint="eastAsia" w:hAnsi="宋体"/>
          <w:sz w:val="30"/>
        </w:rPr>
        <w:t>对谈判响应文件的初审</w:t>
      </w:r>
    </w:p>
    <w:p>
      <w:pPr>
        <w:numPr>
          <w:ilvl w:val="1"/>
          <w:numId w:val="2"/>
        </w:numPr>
        <w:spacing w:line="360" w:lineRule="auto"/>
        <w:rPr>
          <w:rFonts w:ascii="宋体" w:hAnsi="宋体"/>
          <w:sz w:val="24"/>
        </w:rPr>
      </w:pPr>
      <w:r>
        <w:rPr>
          <w:rFonts w:hint="eastAsia" w:ascii="宋体" w:hAnsi="宋体"/>
          <w:sz w:val="24"/>
        </w:rPr>
        <w:t>在对谈判响应文件进行详细评估之前，谈判小组要审查每份谈判响应文件是否实质上响应了谈判文件的要求。实质性响应的谈判应该是与谈判文件要求的全部条款、条件和规格相符，没有重大偏离的谈判。</w:t>
      </w:r>
    </w:p>
    <w:p>
      <w:pPr>
        <w:spacing w:line="360" w:lineRule="auto"/>
        <w:ind w:left="1498" w:leftChars="542" w:hanging="360" w:hangingChars="150"/>
        <w:rPr>
          <w:rFonts w:ascii="宋体" w:hAnsi="宋体"/>
          <w:sz w:val="24"/>
        </w:rPr>
      </w:pPr>
      <w:r>
        <w:rPr>
          <w:rFonts w:hint="eastAsia" w:ascii="宋体" w:hAnsi="宋体"/>
          <w:sz w:val="24"/>
        </w:rPr>
        <w:t>谈判供应商应携带工商营业执照复印件（三证合一，若未办理三证合一证件的</w:t>
      </w:r>
    </w:p>
    <w:p>
      <w:pPr>
        <w:spacing w:line="360" w:lineRule="auto"/>
        <w:ind w:left="1498" w:leftChars="542" w:hanging="360" w:hangingChars="150"/>
        <w:rPr>
          <w:rFonts w:ascii="宋体" w:hAnsi="宋体"/>
          <w:sz w:val="24"/>
        </w:rPr>
      </w:pPr>
      <w:r>
        <w:rPr>
          <w:rFonts w:hint="eastAsia" w:ascii="宋体" w:hAnsi="宋体"/>
          <w:sz w:val="24"/>
        </w:rPr>
        <w:t>单位，必须提供由国家质量技术监督局颁发的中华人民共和国组织机构代码证</w:t>
      </w:r>
    </w:p>
    <w:p>
      <w:pPr>
        <w:spacing w:line="360" w:lineRule="auto"/>
        <w:ind w:left="1498" w:leftChars="542" w:hanging="360" w:hangingChars="150"/>
        <w:rPr>
          <w:rFonts w:ascii="宋体" w:hAnsi="宋体"/>
          <w:sz w:val="24"/>
        </w:rPr>
      </w:pPr>
      <w:r>
        <w:rPr>
          <w:rFonts w:hint="eastAsia" w:ascii="宋体" w:hAnsi="宋体"/>
          <w:sz w:val="24"/>
        </w:rPr>
        <w:t>复印件、税务登记证复印件）及法人代表身份证复印件及保证金银行回单复印</w:t>
      </w:r>
    </w:p>
    <w:p>
      <w:pPr>
        <w:spacing w:line="360" w:lineRule="auto"/>
        <w:ind w:left="1498" w:leftChars="542" w:hanging="360" w:hangingChars="150"/>
        <w:rPr>
          <w:rFonts w:ascii="宋体" w:hAnsi="宋体"/>
          <w:sz w:val="24"/>
        </w:rPr>
      </w:pPr>
      <w:r>
        <w:rPr>
          <w:rFonts w:hint="eastAsia" w:ascii="宋体" w:hAnsi="宋体"/>
          <w:sz w:val="24"/>
        </w:rPr>
        <w:t>件</w:t>
      </w:r>
      <w:r>
        <w:rPr>
          <w:rFonts w:hint="eastAsia"/>
          <w:sz w:val="24"/>
        </w:rPr>
        <w:t>供谈判小组审查，未通过审查的不再进入下一步评审。</w:t>
      </w:r>
    </w:p>
    <w:p>
      <w:pPr>
        <w:numPr>
          <w:ilvl w:val="1"/>
          <w:numId w:val="2"/>
        </w:numPr>
        <w:spacing w:line="360" w:lineRule="auto"/>
        <w:rPr>
          <w:rFonts w:ascii="宋体" w:hAnsi="宋体"/>
          <w:sz w:val="24"/>
        </w:rPr>
      </w:pPr>
      <w:r>
        <w:rPr>
          <w:rFonts w:hint="eastAsia" w:ascii="宋体" w:hAnsi="宋体"/>
          <w:sz w:val="24"/>
        </w:rPr>
        <w:t>谈判小组确定谈判响应文件的响应性，只根据谈判响应文件本身的内容，而不寻找外部的证据。</w:t>
      </w:r>
    </w:p>
    <w:p>
      <w:pPr>
        <w:numPr>
          <w:ilvl w:val="1"/>
          <w:numId w:val="2"/>
        </w:numPr>
        <w:spacing w:line="360" w:lineRule="auto"/>
        <w:rPr>
          <w:rFonts w:ascii="宋体" w:hAnsi="宋体"/>
          <w:sz w:val="24"/>
        </w:rPr>
      </w:pPr>
      <w:r>
        <w:rPr>
          <w:rFonts w:hint="eastAsia" w:ascii="宋体" w:hAnsi="宋体"/>
          <w:sz w:val="24"/>
        </w:rPr>
        <w:t>采购人将拒绝被确定为实质上没有响应谈判文件要求的谈判。响应供应商不能通过修正或撤销不合要求的偏离或保留从而使其谈判成为实质上响应的谈判。如果发现下列情况之一的，其谈判将被拒绝而作为无效处理：</w:t>
      </w:r>
    </w:p>
    <w:p>
      <w:pPr>
        <w:numPr>
          <w:ilvl w:val="0"/>
          <w:numId w:val="3"/>
        </w:numPr>
        <w:spacing w:line="360" w:lineRule="auto"/>
        <w:rPr>
          <w:rFonts w:ascii="宋体" w:hAnsi="宋体"/>
          <w:sz w:val="24"/>
        </w:rPr>
      </w:pPr>
      <w:r>
        <w:rPr>
          <w:rFonts w:hint="eastAsia" w:ascii="宋体" w:hAnsi="宋体"/>
          <w:sz w:val="24"/>
        </w:rPr>
        <w:t>谈判小组认定其谈判工期严重超出采购人要求的；</w:t>
      </w:r>
    </w:p>
    <w:p>
      <w:pPr>
        <w:numPr>
          <w:ilvl w:val="0"/>
          <w:numId w:val="3"/>
        </w:numPr>
        <w:spacing w:line="360" w:lineRule="auto"/>
        <w:rPr>
          <w:rFonts w:ascii="宋体" w:hAnsi="宋体"/>
          <w:sz w:val="24"/>
        </w:rPr>
      </w:pPr>
      <w:r>
        <w:rPr>
          <w:rFonts w:hint="eastAsia" w:ascii="宋体" w:hAnsi="宋体"/>
          <w:sz w:val="24"/>
        </w:rPr>
        <w:t>谈判小组认定其付款方式严重偏离谈判文件要求的；</w:t>
      </w:r>
    </w:p>
    <w:p>
      <w:pPr>
        <w:numPr>
          <w:ilvl w:val="0"/>
          <w:numId w:val="3"/>
        </w:numPr>
        <w:spacing w:line="360" w:lineRule="auto"/>
        <w:rPr>
          <w:rFonts w:ascii="宋体" w:hAnsi="宋体"/>
          <w:sz w:val="24"/>
        </w:rPr>
      </w:pPr>
      <w:r>
        <w:rPr>
          <w:rFonts w:hint="eastAsia" w:ascii="宋体" w:hAnsi="宋体"/>
          <w:sz w:val="24"/>
        </w:rPr>
        <w:t>委托谈判无法人代表签字，或签字无法人代表有效委托的；</w:t>
      </w:r>
    </w:p>
    <w:p>
      <w:pPr>
        <w:numPr>
          <w:ilvl w:val="0"/>
          <w:numId w:val="3"/>
        </w:numPr>
        <w:spacing w:line="360" w:lineRule="auto"/>
        <w:rPr>
          <w:rFonts w:ascii="宋体" w:hAnsi="宋体"/>
          <w:sz w:val="24"/>
        </w:rPr>
      </w:pPr>
      <w:r>
        <w:rPr>
          <w:rFonts w:hint="eastAsia" w:ascii="宋体" w:hAnsi="宋体"/>
          <w:sz w:val="24"/>
        </w:rPr>
        <w:t>谈判响应文件在谈判文件规定的谈判开始时间以后送达的；</w:t>
      </w:r>
    </w:p>
    <w:p>
      <w:pPr>
        <w:numPr>
          <w:ilvl w:val="0"/>
          <w:numId w:val="3"/>
        </w:numPr>
        <w:spacing w:line="360" w:lineRule="auto"/>
        <w:rPr>
          <w:rFonts w:ascii="宋体" w:hAnsi="宋体"/>
          <w:sz w:val="24"/>
        </w:rPr>
      </w:pPr>
      <w:r>
        <w:rPr>
          <w:rFonts w:hint="eastAsia" w:ascii="宋体" w:hAnsi="宋体"/>
          <w:sz w:val="24"/>
        </w:rPr>
        <w:t>技术方案不满足采购需求的；</w:t>
      </w:r>
    </w:p>
    <w:p>
      <w:pPr>
        <w:numPr>
          <w:ilvl w:val="0"/>
          <w:numId w:val="3"/>
        </w:numPr>
        <w:spacing w:line="360" w:lineRule="auto"/>
        <w:rPr>
          <w:rFonts w:ascii="宋体" w:hAnsi="宋体"/>
          <w:sz w:val="24"/>
        </w:rPr>
      </w:pPr>
      <w:r>
        <w:rPr>
          <w:rFonts w:hint="eastAsia" w:ascii="宋体" w:hAnsi="宋体"/>
          <w:sz w:val="24"/>
        </w:rPr>
        <w:t>评标小组认定谈判无效的其他情形。</w:t>
      </w:r>
    </w:p>
    <w:p>
      <w:pPr>
        <w:pStyle w:val="5"/>
        <w:numPr>
          <w:ilvl w:val="0"/>
          <w:numId w:val="2"/>
        </w:numPr>
        <w:tabs>
          <w:tab w:val="left" w:pos="810"/>
        </w:tabs>
        <w:spacing w:before="140" w:after="140" w:line="360" w:lineRule="auto"/>
        <w:rPr>
          <w:rFonts w:hAnsi="宋体"/>
          <w:sz w:val="30"/>
        </w:rPr>
      </w:pPr>
      <w:r>
        <w:rPr>
          <w:rFonts w:hint="eastAsia" w:hAnsi="宋体"/>
          <w:sz w:val="30"/>
        </w:rPr>
        <w:t>成交候选人的确定</w:t>
      </w:r>
    </w:p>
    <w:p>
      <w:pPr>
        <w:pStyle w:val="10"/>
        <w:numPr>
          <w:ilvl w:val="1"/>
          <w:numId w:val="2"/>
        </w:numPr>
        <w:spacing w:line="360" w:lineRule="auto"/>
        <w:rPr>
          <w:rFonts w:hAnsi="宋体"/>
          <w:color w:val="000000"/>
          <w:sz w:val="24"/>
        </w:rPr>
      </w:pPr>
      <w:r>
        <w:rPr>
          <w:rFonts w:hint="eastAsia" w:ascii="楷体_GB2312"/>
          <w:sz w:val="24"/>
          <w:szCs w:val="24"/>
        </w:rPr>
        <w:t>入围响应供应商在规定的时间内作最后报价，</w:t>
      </w:r>
      <w:r>
        <w:rPr>
          <w:rFonts w:hint="eastAsia" w:ascii="楷体_GB2312"/>
          <w:color w:val="000000"/>
          <w:sz w:val="24"/>
          <w:szCs w:val="24"/>
        </w:rPr>
        <w:t>综合评标最优</w:t>
      </w:r>
      <w:r>
        <w:rPr>
          <w:rFonts w:hint="eastAsia" w:ascii="楷体_GB2312"/>
          <w:sz w:val="24"/>
          <w:szCs w:val="24"/>
        </w:rPr>
        <w:t>的谈判响应供应商确定为成交人。</w:t>
      </w:r>
    </w:p>
    <w:p>
      <w:pPr>
        <w:pStyle w:val="5"/>
        <w:spacing w:line="360" w:lineRule="auto"/>
        <w:ind w:left="227"/>
        <w:jc w:val="center"/>
        <w:rPr>
          <w:rFonts w:hAnsi="宋体"/>
          <w:szCs w:val="32"/>
        </w:rPr>
      </w:pPr>
      <w:r>
        <w:rPr>
          <w:rFonts w:hint="eastAsia" w:hAnsi="宋体"/>
          <w:szCs w:val="32"/>
        </w:rPr>
        <w:t>Ｆ   签订合同及其他事项</w:t>
      </w:r>
    </w:p>
    <w:p>
      <w:pPr>
        <w:pStyle w:val="5"/>
        <w:numPr>
          <w:ilvl w:val="0"/>
          <w:numId w:val="2"/>
        </w:numPr>
        <w:tabs>
          <w:tab w:val="left" w:pos="810"/>
        </w:tabs>
        <w:spacing w:before="140" w:after="140" w:line="360" w:lineRule="auto"/>
        <w:rPr>
          <w:rFonts w:hAnsi="宋体"/>
          <w:sz w:val="30"/>
        </w:rPr>
      </w:pPr>
      <w:r>
        <w:rPr>
          <w:rFonts w:hint="eastAsia" w:hAnsi="宋体"/>
          <w:sz w:val="30"/>
        </w:rPr>
        <w:t>成交通知书</w:t>
      </w:r>
    </w:p>
    <w:p>
      <w:pPr>
        <w:numPr>
          <w:ilvl w:val="1"/>
          <w:numId w:val="2"/>
        </w:numPr>
        <w:spacing w:line="360" w:lineRule="auto"/>
        <w:rPr>
          <w:rFonts w:ascii="宋体" w:hAnsi="宋体"/>
          <w:sz w:val="24"/>
        </w:rPr>
      </w:pPr>
      <w:r>
        <w:rPr>
          <w:rFonts w:hint="eastAsia" w:ascii="宋体" w:hAnsi="宋体"/>
          <w:sz w:val="24"/>
        </w:rPr>
        <w:t>恩施大峡谷旅游开发有限公司采购中心于谈判小组确定成交供应商后，同时向成交供应商签发《中标通知书》。</w:t>
      </w:r>
    </w:p>
    <w:p>
      <w:pPr>
        <w:numPr>
          <w:ilvl w:val="1"/>
          <w:numId w:val="2"/>
        </w:numPr>
        <w:spacing w:line="360" w:lineRule="auto"/>
        <w:rPr>
          <w:rFonts w:ascii="宋体" w:hAnsi="宋体"/>
          <w:sz w:val="24"/>
        </w:rPr>
      </w:pPr>
      <w:r>
        <w:rPr>
          <w:rFonts w:hint="eastAsia" w:ascii="宋体" w:hAnsi="宋体"/>
          <w:sz w:val="24"/>
        </w:rPr>
        <w:t>《中标通知书》将作为签订合同的重要依据。</w:t>
      </w:r>
    </w:p>
    <w:p>
      <w:pPr>
        <w:pStyle w:val="5"/>
        <w:numPr>
          <w:ilvl w:val="0"/>
          <w:numId w:val="2"/>
        </w:numPr>
        <w:tabs>
          <w:tab w:val="left" w:pos="810"/>
        </w:tabs>
        <w:spacing w:before="140" w:after="140" w:line="360" w:lineRule="auto"/>
        <w:rPr>
          <w:rFonts w:hAnsi="宋体"/>
          <w:sz w:val="30"/>
        </w:rPr>
      </w:pPr>
      <w:r>
        <w:rPr>
          <w:rFonts w:hint="eastAsia" w:hAnsi="宋体"/>
          <w:sz w:val="30"/>
        </w:rPr>
        <w:t>签订合同</w:t>
      </w:r>
    </w:p>
    <w:p>
      <w:pPr>
        <w:ind w:left="239" w:leftChars="114" w:firstLine="60" w:firstLineChars="25"/>
        <w:rPr>
          <w:rFonts w:ascii="宋体" w:hAnsi="宋体"/>
          <w:sz w:val="24"/>
        </w:rPr>
      </w:pPr>
      <w:r>
        <w:rPr>
          <w:rFonts w:hint="eastAsia" w:ascii="宋体" w:hAnsi="宋体"/>
          <w:sz w:val="24"/>
        </w:rPr>
        <w:t>25.1采购人应在《中标通知书》发出之日起3天内与中标人签订采购合同。</w:t>
      </w:r>
    </w:p>
    <w:p>
      <w:pPr>
        <w:spacing w:line="360" w:lineRule="auto"/>
        <w:ind w:left="284"/>
        <w:rPr>
          <w:rFonts w:ascii="宋体" w:hAnsi="宋体"/>
          <w:sz w:val="24"/>
        </w:rPr>
      </w:pPr>
      <w:r>
        <w:rPr>
          <w:rFonts w:hint="eastAsia" w:ascii="宋体" w:hAnsi="宋体"/>
          <w:sz w:val="24"/>
        </w:rPr>
        <w:t>25.2谈判文件、成交供应商的谈判响应文件、澄清文件及合同的补充协议等，均为签订合同的依据。</w:t>
      </w:r>
    </w:p>
    <w:p>
      <w:pPr>
        <w:pStyle w:val="3"/>
        <w:snapToGrid w:val="0"/>
        <w:spacing w:line="360" w:lineRule="auto"/>
        <w:jc w:val="center"/>
        <w:rPr>
          <w:rFonts w:ascii="宋体" w:hAnsi="宋体" w:eastAsia="宋体"/>
          <w:szCs w:val="32"/>
        </w:rPr>
      </w:pPr>
      <w:bookmarkStart w:id="0" w:name="_Toc20823316"/>
      <w:bookmarkStart w:id="1" w:name="_Toc16938560"/>
      <w:bookmarkStart w:id="2" w:name="_Toc513029244"/>
      <w:r>
        <w:rPr>
          <w:rFonts w:hint="eastAsia" w:ascii="宋体" w:hAnsi="宋体" w:eastAsia="宋体"/>
          <w:szCs w:val="32"/>
        </w:rPr>
        <w:t>G   合同条款</w:t>
      </w:r>
      <w:bookmarkEnd w:id="0"/>
      <w:bookmarkEnd w:id="1"/>
      <w:bookmarkEnd w:id="2"/>
    </w:p>
    <w:p>
      <w:pPr>
        <w:pStyle w:val="5"/>
        <w:numPr>
          <w:ilvl w:val="0"/>
          <w:numId w:val="2"/>
        </w:numPr>
        <w:tabs>
          <w:tab w:val="left" w:pos="810"/>
        </w:tabs>
        <w:spacing w:before="140" w:after="140" w:line="360" w:lineRule="auto"/>
        <w:rPr>
          <w:rFonts w:hAnsi="宋体"/>
          <w:sz w:val="30"/>
        </w:rPr>
      </w:pPr>
      <w:bookmarkStart w:id="3" w:name="_Toc16938561"/>
      <w:bookmarkStart w:id="4" w:name="_Toc20823317"/>
      <w:bookmarkStart w:id="5" w:name="_Toc513029245"/>
      <w:r>
        <w:rPr>
          <w:rFonts w:hint="eastAsia" w:hAnsi="宋体"/>
          <w:sz w:val="30"/>
        </w:rPr>
        <w:t>定义</w:t>
      </w:r>
      <w:bookmarkEnd w:id="3"/>
      <w:bookmarkEnd w:id="4"/>
      <w:bookmarkEnd w:id="5"/>
    </w:p>
    <w:p>
      <w:pPr>
        <w:pStyle w:val="4"/>
        <w:spacing w:line="360" w:lineRule="auto"/>
        <w:ind w:left="284" w:firstLine="0"/>
        <w:rPr>
          <w:rFonts w:hAnsi="宋体"/>
          <w:kern w:val="2"/>
          <w:sz w:val="24"/>
        </w:rPr>
      </w:pPr>
      <w:r>
        <w:rPr>
          <w:rFonts w:hint="eastAsia" w:hAnsi="宋体"/>
          <w:kern w:val="2"/>
          <w:sz w:val="24"/>
        </w:rPr>
        <w:t>本合同中的下列术语应解释为：</w:t>
      </w:r>
    </w:p>
    <w:p>
      <w:pPr>
        <w:pStyle w:val="4"/>
        <w:numPr>
          <w:ilvl w:val="1"/>
          <w:numId w:val="2"/>
        </w:numPr>
        <w:spacing w:line="360" w:lineRule="auto"/>
        <w:rPr>
          <w:rFonts w:hAnsi="宋体"/>
          <w:kern w:val="2"/>
          <w:sz w:val="24"/>
        </w:rPr>
      </w:pPr>
      <w:r>
        <w:rPr>
          <w:rFonts w:hint="eastAsia" w:hAnsi="宋体"/>
          <w:kern w:val="2"/>
          <w:sz w:val="24"/>
        </w:rPr>
        <w:t>“合同”系指甲方与乙方签署的、合同格式中载明的甲方与乙方所达成的协议，包括所有的附件、附录和构成合同的所有文件。</w:t>
      </w:r>
    </w:p>
    <w:p>
      <w:pPr>
        <w:pStyle w:val="4"/>
        <w:numPr>
          <w:ilvl w:val="1"/>
          <w:numId w:val="2"/>
        </w:numPr>
        <w:spacing w:line="360" w:lineRule="auto"/>
        <w:rPr>
          <w:rFonts w:hAnsi="宋体"/>
          <w:kern w:val="2"/>
          <w:sz w:val="24"/>
        </w:rPr>
      </w:pPr>
      <w:r>
        <w:rPr>
          <w:rFonts w:hint="eastAsia" w:hAnsi="宋体"/>
          <w:kern w:val="2"/>
          <w:sz w:val="24"/>
        </w:rPr>
        <w:t>“合同价”系指根据合同规定，乙方在正确地完全履行合同义务后甲方应支付给乙方的全部价格。</w:t>
      </w:r>
    </w:p>
    <w:p>
      <w:pPr>
        <w:pStyle w:val="4"/>
        <w:numPr>
          <w:ilvl w:val="1"/>
          <w:numId w:val="2"/>
        </w:numPr>
        <w:spacing w:line="360" w:lineRule="auto"/>
        <w:rPr>
          <w:rFonts w:hAnsi="宋体"/>
          <w:kern w:val="2"/>
          <w:sz w:val="24"/>
        </w:rPr>
      </w:pPr>
      <w:r>
        <w:rPr>
          <w:rFonts w:hint="eastAsia" w:hAnsi="宋体"/>
          <w:kern w:val="2"/>
          <w:sz w:val="24"/>
        </w:rPr>
        <w:t>“项目”系指乙方按照谈判文件规定向甲方提供的制作、运输及服务。</w:t>
      </w:r>
    </w:p>
    <w:p>
      <w:pPr>
        <w:pStyle w:val="4"/>
        <w:numPr>
          <w:ilvl w:val="1"/>
          <w:numId w:val="2"/>
        </w:numPr>
        <w:spacing w:line="360" w:lineRule="auto"/>
        <w:rPr>
          <w:rFonts w:hAnsi="宋体"/>
          <w:kern w:val="2"/>
          <w:sz w:val="24"/>
        </w:rPr>
      </w:pPr>
      <w:r>
        <w:rPr>
          <w:rFonts w:hint="eastAsia" w:hAnsi="宋体"/>
          <w:kern w:val="2"/>
          <w:sz w:val="24"/>
        </w:rPr>
        <w:t>“</w:t>
      </w:r>
      <w:r>
        <w:rPr>
          <w:rFonts w:hint="eastAsia" w:hAnsi="宋体"/>
          <w:color w:val="000000" w:themeColor="text1"/>
          <w:kern w:val="2"/>
          <w:sz w:val="24"/>
          <w14:textFill>
            <w14:solidFill>
              <w14:schemeClr w14:val="tx1"/>
            </w14:solidFill>
          </w14:textFill>
        </w:rPr>
        <w:t>甲方”系指签订合同的恩施大峡谷旅游开发有限公司</w:t>
      </w:r>
      <w:r>
        <w:rPr>
          <w:rFonts w:hint="eastAsia" w:hAnsi="宋体"/>
          <w:kern w:val="2"/>
          <w:sz w:val="24"/>
        </w:rPr>
        <w:t>。</w:t>
      </w:r>
    </w:p>
    <w:p>
      <w:pPr>
        <w:pStyle w:val="4"/>
        <w:numPr>
          <w:ilvl w:val="1"/>
          <w:numId w:val="2"/>
        </w:numPr>
        <w:spacing w:line="360" w:lineRule="auto"/>
        <w:rPr>
          <w:rFonts w:hAnsi="宋体"/>
          <w:kern w:val="2"/>
          <w:sz w:val="24"/>
        </w:rPr>
      </w:pPr>
      <w:r>
        <w:rPr>
          <w:rFonts w:hint="eastAsia" w:hAnsi="宋体"/>
          <w:kern w:val="2"/>
          <w:sz w:val="24"/>
        </w:rPr>
        <w:t>“乙方”系指前附表中所述的成交供应商。</w:t>
      </w:r>
    </w:p>
    <w:p>
      <w:pPr>
        <w:pStyle w:val="5"/>
        <w:numPr>
          <w:ilvl w:val="0"/>
          <w:numId w:val="2"/>
        </w:numPr>
        <w:tabs>
          <w:tab w:val="left" w:pos="810"/>
        </w:tabs>
        <w:spacing w:before="140" w:after="140" w:line="360" w:lineRule="auto"/>
        <w:rPr>
          <w:rFonts w:hAnsi="宋体"/>
          <w:sz w:val="30"/>
        </w:rPr>
      </w:pPr>
      <w:bookmarkStart w:id="6" w:name="_Toc16938562"/>
      <w:bookmarkStart w:id="7" w:name="_Toc513029246"/>
      <w:bookmarkStart w:id="8" w:name="_Toc20823318"/>
      <w:r>
        <w:rPr>
          <w:rFonts w:hint="eastAsia" w:hAnsi="宋体"/>
          <w:sz w:val="30"/>
        </w:rPr>
        <w:t>技术性能</w:t>
      </w:r>
      <w:bookmarkEnd w:id="6"/>
      <w:bookmarkEnd w:id="7"/>
      <w:bookmarkEnd w:id="8"/>
    </w:p>
    <w:p>
      <w:pPr>
        <w:spacing w:line="500" w:lineRule="exact"/>
        <w:ind w:left="1078" w:leftChars="142" w:hanging="780" w:hangingChars="325"/>
        <w:rPr>
          <w:rFonts w:ascii="宋体" w:hAnsi="宋体"/>
          <w:sz w:val="24"/>
        </w:rPr>
      </w:pPr>
      <w:r>
        <w:rPr>
          <w:rFonts w:hint="eastAsia" w:ascii="宋体" w:hAnsi="宋体"/>
          <w:sz w:val="24"/>
        </w:rPr>
        <w:t>28.1.  乙方所提供实施方案的技术规格应与谈判文件规定的技术规范相一致；若技术性能无相应说明，则按国家有关部门最新颁布的标准及规范为准。依据设计文件的要求，本谈判项目的材料、设备、施工须达到国家或行业的相关施工规范及验收标准的要求。</w:t>
      </w:r>
    </w:p>
    <w:p>
      <w:pPr>
        <w:pStyle w:val="5"/>
        <w:numPr>
          <w:ilvl w:val="0"/>
          <w:numId w:val="2"/>
        </w:numPr>
        <w:tabs>
          <w:tab w:val="left" w:pos="810"/>
        </w:tabs>
        <w:spacing w:before="140" w:after="140" w:line="360" w:lineRule="auto"/>
        <w:rPr>
          <w:rFonts w:hAnsi="宋体"/>
          <w:sz w:val="30"/>
        </w:rPr>
      </w:pPr>
      <w:bookmarkStart w:id="9" w:name="_Toc20823322"/>
      <w:bookmarkStart w:id="10" w:name="_Toc16938566"/>
      <w:bookmarkStart w:id="11" w:name="_Toc513029250"/>
      <w:r>
        <w:rPr>
          <w:rFonts w:hint="eastAsia" w:hAnsi="宋体"/>
          <w:sz w:val="30"/>
        </w:rPr>
        <w:t>付   款</w:t>
      </w:r>
      <w:bookmarkEnd w:id="9"/>
      <w:bookmarkEnd w:id="10"/>
      <w:bookmarkEnd w:id="11"/>
    </w:p>
    <w:p>
      <w:pPr>
        <w:pStyle w:val="4"/>
        <w:numPr>
          <w:ilvl w:val="1"/>
          <w:numId w:val="2"/>
        </w:numPr>
        <w:spacing w:line="360" w:lineRule="auto"/>
        <w:rPr>
          <w:rFonts w:hAnsi="宋体"/>
          <w:kern w:val="2"/>
          <w:sz w:val="24"/>
        </w:rPr>
      </w:pPr>
      <w:r>
        <w:rPr>
          <w:rFonts w:hint="eastAsia" w:hAnsi="宋体"/>
          <w:kern w:val="2"/>
          <w:sz w:val="24"/>
        </w:rPr>
        <w:t>本合同以人民币付款。</w:t>
      </w:r>
    </w:p>
    <w:p>
      <w:pPr>
        <w:pStyle w:val="5"/>
        <w:numPr>
          <w:ilvl w:val="0"/>
          <w:numId w:val="2"/>
        </w:numPr>
        <w:tabs>
          <w:tab w:val="left" w:pos="810"/>
        </w:tabs>
        <w:spacing w:before="140" w:after="140" w:line="360" w:lineRule="auto"/>
        <w:rPr>
          <w:rFonts w:hAnsi="宋体"/>
          <w:sz w:val="30"/>
        </w:rPr>
      </w:pPr>
      <w:bookmarkStart w:id="12" w:name="_Toc20823327"/>
      <w:bookmarkStart w:id="13" w:name="_Toc513029255"/>
      <w:bookmarkStart w:id="14" w:name="_Toc16938571"/>
      <w:r>
        <w:rPr>
          <w:rFonts w:hint="eastAsia" w:hAnsi="宋体"/>
          <w:sz w:val="30"/>
        </w:rPr>
        <w:t>乙方工期延误</w:t>
      </w:r>
      <w:bookmarkEnd w:id="12"/>
      <w:bookmarkEnd w:id="13"/>
      <w:bookmarkEnd w:id="14"/>
    </w:p>
    <w:p>
      <w:pPr>
        <w:pStyle w:val="4"/>
        <w:numPr>
          <w:ilvl w:val="1"/>
          <w:numId w:val="2"/>
        </w:numPr>
        <w:spacing w:line="360" w:lineRule="auto"/>
        <w:rPr>
          <w:rFonts w:hAnsi="宋体"/>
          <w:kern w:val="2"/>
          <w:sz w:val="24"/>
        </w:rPr>
      </w:pPr>
      <w:r>
        <w:rPr>
          <w:rFonts w:hint="eastAsia" w:hAnsi="宋体"/>
          <w:kern w:val="2"/>
          <w:sz w:val="24"/>
        </w:rPr>
        <w:t>乙方应按甲方规定的期限交货，并交付甲方验收使用。</w:t>
      </w:r>
    </w:p>
    <w:p>
      <w:pPr>
        <w:pStyle w:val="4"/>
        <w:numPr>
          <w:ilvl w:val="1"/>
          <w:numId w:val="2"/>
        </w:numPr>
        <w:spacing w:line="360" w:lineRule="auto"/>
        <w:rPr>
          <w:rFonts w:hAnsi="宋体"/>
          <w:kern w:val="2"/>
          <w:sz w:val="24"/>
        </w:rPr>
      </w:pPr>
      <w:r>
        <w:rPr>
          <w:rFonts w:hint="eastAsia" w:hAnsi="宋体"/>
          <w:kern w:val="2"/>
          <w:sz w:val="24"/>
        </w:rPr>
        <w:t>如果乙方无正当理由拖延工期，将受到加收误期赔偿或终止合同的制裁。</w:t>
      </w:r>
    </w:p>
    <w:p>
      <w:pPr>
        <w:pStyle w:val="4"/>
        <w:numPr>
          <w:ilvl w:val="1"/>
          <w:numId w:val="2"/>
        </w:numPr>
        <w:spacing w:line="360" w:lineRule="auto"/>
        <w:rPr>
          <w:rFonts w:hAnsi="宋体"/>
          <w:sz w:val="24"/>
        </w:rPr>
      </w:pPr>
      <w:r>
        <w:rPr>
          <w:rFonts w:hint="eastAsia" w:hAnsi="宋体"/>
          <w:kern w:val="2"/>
          <w:sz w:val="24"/>
        </w:rPr>
        <w:t>在履行合</w:t>
      </w:r>
      <w:r>
        <w:rPr>
          <w:rFonts w:hint="eastAsia" w:hAnsi="宋体"/>
          <w:sz w:val="24"/>
        </w:rPr>
        <w:t>同过程中，如果乙方遇到不能按时完工的情况，应及时以书面形式将不能按时完工的理由、可能延误的时间同时通知甲方和采购中心。甲方在收到乙方通知后，应对情况进行分析，决定是否修改合同、酌情延长完工时间或终止合同；同时保留按第30.2条规定对乙方进行制裁的权力。</w:t>
      </w:r>
    </w:p>
    <w:p>
      <w:pPr>
        <w:pStyle w:val="5"/>
        <w:numPr>
          <w:ilvl w:val="0"/>
          <w:numId w:val="2"/>
        </w:numPr>
        <w:tabs>
          <w:tab w:val="left" w:pos="810"/>
        </w:tabs>
        <w:spacing w:before="140" w:after="140" w:line="360" w:lineRule="auto"/>
        <w:rPr>
          <w:rFonts w:hAnsi="宋体"/>
          <w:sz w:val="30"/>
        </w:rPr>
      </w:pPr>
      <w:bookmarkStart w:id="15" w:name="_Toc16938572"/>
      <w:bookmarkStart w:id="16" w:name="_Toc513029256"/>
      <w:bookmarkStart w:id="17" w:name="_Toc20823328"/>
      <w:r>
        <w:rPr>
          <w:rFonts w:hint="eastAsia" w:hAnsi="宋体"/>
          <w:sz w:val="30"/>
        </w:rPr>
        <w:t>误期</w:t>
      </w:r>
      <w:bookmarkEnd w:id="15"/>
      <w:bookmarkEnd w:id="16"/>
      <w:bookmarkEnd w:id="17"/>
      <w:r>
        <w:rPr>
          <w:rFonts w:hint="eastAsia" w:hAnsi="宋体"/>
          <w:sz w:val="30"/>
        </w:rPr>
        <w:t>说明</w:t>
      </w:r>
    </w:p>
    <w:p>
      <w:pPr>
        <w:pStyle w:val="4"/>
        <w:numPr>
          <w:ilvl w:val="1"/>
          <w:numId w:val="2"/>
        </w:numPr>
        <w:spacing w:line="360" w:lineRule="auto"/>
        <w:rPr>
          <w:rFonts w:hAnsi="宋体"/>
          <w:kern w:val="2"/>
          <w:sz w:val="24"/>
        </w:rPr>
      </w:pPr>
      <w:r>
        <w:rPr>
          <w:rFonts w:hint="eastAsia" w:hAnsi="宋体"/>
          <w:kern w:val="2"/>
          <w:sz w:val="24"/>
        </w:rPr>
        <w:t>如果乙方没有按照甲方规定的时间交货，甲方可考虑终止合同。</w:t>
      </w:r>
    </w:p>
    <w:p>
      <w:pPr>
        <w:pStyle w:val="5"/>
        <w:numPr>
          <w:ilvl w:val="0"/>
          <w:numId w:val="2"/>
        </w:numPr>
        <w:tabs>
          <w:tab w:val="left" w:pos="810"/>
        </w:tabs>
        <w:spacing w:before="140" w:after="140" w:line="360" w:lineRule="auto"/>
        <w:rPr>
          <w:rFonts w:hAnsi="宋体"/>
          <w:sz w:val="30"/>
        </w:rPr>
      </w:pPr>
      <w:bookmarkStart w:id="18" w:name="_Toc20823330"/>
      <w:bookmarkStart w:id="19" w:name="_Toc16938574"/>
      <w:bookmarkStart w:id="20" w:name="_Toc513029258"/>
      <w:r>
        <w:rPr>
          <w:rFonts w:hint="eastAsia" w:hAnsi="宋体"/>
          <w:sz w:val="30"/>
        </w:rPr>
        <w:t>税费</w:t>
      </w:r>
      <w:bookmarkEnd w:id="18"/>
      <w:bookmarkEnd w:id="19"/>
      <w:bookmarkEnd w:id="20"/>
    </w:p>
    <w:p>
      <w:pPr>
        <w:pStyle w:val="4"/>
        <w:numPr>
          <w:ilvl w:val="1"/>
          <w:numId w:val="2"/>
        </w:numPr>
        <w:spacing w:line="360" w:lineRule="auto"/>
        <w:rPr>
          <w:sz w:val="24"/>
          <w:szCs w:val="24"/>
        </w:rPr>
      </w:pPr>
      <w:r>
        <w:rPr>
          <w:rFonts w:hint="eastAsia"/>
          <w:kern w:val="2"/>
          <w:sz w:val="24"/>
          <w:szCs w:val="24"/>
        </w:rPr>
        <w:t>在乙方履行合同期间和交付甲方验收合格之前发生的一切税费均由乙方负担。</w:t>
      </w:r>
    </w:p>
    <w:p>
      <w:pPr>
        <w:pStyle w:val="5"/>
        <w:numPr>
          <w:ilvl w:val="0"/>
          <w:numId w:val="2"/>
        </w:numPr>
        <w:tabs>
          <w:tab w:val="left" w:pos="810"/>
        </w:tabs>
        <w:spacing w:before="140" w:after="140" w:line="360" w:lineRule="auto"/>
        <w:rPr>
          <w:rFonts w:hAnsi="宋体"/>
          <w:sz w:val="30"/>
        </w:rPr>
      </w:pPr>
      <w:bookmarkStart w:id="21" w:name="_Toc20823336"/>
      <w:bookmarkStart w:id="22" w:name="_Toc513029264"/>
      <w:bookmarkStart w:id="23" w:name="_Toc462564123"/>
      <w:bookmarkStart w:id="24" w:name="_Toc16938580"/>
      <w:r>
        <w:rPr>
          <w:rFonts w:hint="eastAsia" w:hAnsi="宋体"/>
          <w:sz w:val="30"/>
        </w:rPr>
        <w:t>合同生效及其它</w:t>
      </w:r>
      <w:bookmarkEnd w:id="21"/>
      <w:bookmarkEnd w:id="22"/>
      <w:bookmarkEnd w:id="23"/>
      <w:bookmarkEnd w:id="24"/>
    </w:p>
    <w:p>
      <w:pPr>
        <w:pStyle w:val="4"/>
        <w:numPr>
          <w:ilvl w:val="1"/>
          <w:numId w:val="2"/>
        </w:numPr>
        <w:spacing w:line="360" w:lineRule="auto"/>
        <w:rPr>
          <w:rFonts w:hAnsi="宋体"/>
          <w:kern w:val="2"/>
          <w:sz w:val="24"/>
        </w:rPr>
      </w:pPr>
      <w:r>
        <w:rPr>
          <w:rFonts w:hint="eastAsia" w:hAnsi="宋体"/>
          <w:kern w:val="2"/>
          <w:sz w:val="24"/>
        </w:rPr>
        <w:t>合同在甲方和乙方签字盖章后生效。</w:t>
      </w:r>
    </w:p>
    <w:p>
      <w:pPr>
        <w:spacing w:line="360" w:lineRule="auto"/>
        <w:ind w:firstLine="600" w:firstLineChars="250"/>
        <w:rPr>
          <w:rFonts w:hAnsi="宋体"/>
          <w:sz w:val="24"/>
        </w:rPr>
      </w:pPr>
      <w:r>
        <w:rPr>
          <w:rFonts w:hint="eastAsia" w:hAnsi="宋体"/>
          <w:sz w:val="24"/>
        </w:rPr>
        <w:t>本合同一式陆份，以中文书写，甲方肆份、乙方贰份。</w:t>
      </w:r>
    </w:p>
    <w:p>
      <w:pPr>
        <w:pStyle w:val="4"/>
        <w:numPr>
          <w:ilvl w:val="1"/>
          <w:numId w:val="2"/>
        </w:numPr>
        <w:spacing w:line="360" w:lineRule="auto"/>
        <w:rPr>
          <w:rFonts w:hAnsi="宋体"/>
          <w:kern w:val="2"/>
          <w:sz w:val="24"/>
        </w:rPr>
      </w:pPr>
      <w:r>
        <w:rPr>
          <w:rFonts w:hint="eastAsia" w:hAnsi="宋体"/>
          <w:kern w:val="2"/>
          <w:sz w:val="24"/>
        </w:rPr>
        <w:t>如需修改或补充合同内容，应经甲方、乙双方协商一致，签署书面修改或补充协议。该协议将作为本合同不可分割的一部分。</w:t>
      </w:r>
    </w:p>
    <w:p>
      <w:pPr>
        <w:pStyle w:val="4"/>
        <w:numPr>
          <w:ilvl w:val="1"/>
          <w:numId w:val="2"/>
        </w:numPr>
        <w:spacing w:line="360" w:lineRule="auto"/>
        <w:rPr>
          <w:rFonts w:hAnsi="宋体"/>
          <w:b/>
          <w:bCs/>
          <w:kern w:val="2"/>
          <w:sz w:val="24"/>
        </w:rPr>
      </w:pPr>
      <w:r>
        <w:rPr>
          <w:rFonts w:hint="eastAsia" w:hAnsi="宋体"/>
          <w:kern w:val="2"/>
          <w:sz w:val="24"/>
        </w:rPr>
        <w:t>本合同应按照中华人民共和国的现行法律进行解释。</w:t>
      </w:r>
      <w:bookmarkStart w:id="25" w:name="_Hlt26671374"/>
      <w:bookmarkEnd w:id="25"/>
      <w:bookmarkStart w:id="26" w:name="_格式3__银行出具的资信证明"/>
      <w:bookmarkEnd w:id="26"/>
      <w:bookmarkStart w:id="27" w:name="_格式2__法定代表人授权书"/>
      <w:bookmarkEnd w:id="27"/>
      <w:bookmarkStart w:id="28" w:name="_Hlt26955066"/>
      <w:bookmarkEnd w:id="28"/>
      <w:bookmarkStart w:id="29" w:name="_Hlt26609389"/>
      <w:bookmarkEnd w:id="29"/>
    </w:p>
    <w:p>
      <w:pPr>
        <w:pStyle w:val="5"/>
        <w:spacing w:line="360" w:lineRule="auto"/>
        <w:ind w:left="227"/>
        <w:jc w:val="center"/>
        <w:rPr>
          <w:rFonts w:hAnsi="宋体"/>
          <w:szCs w:val="32"/>
        </w:rPr>
      </w:pPr>
      <w:r>
        <w:rPr>
          <w:rFonts w:hAnsi="宋体"/>
          <w:szCs w:val="32"/>
        </w:rPr>
        <w:t xml:space="preserve">H   </w:t>
      </w:r>
      <w:r>
        <w:rPr>
          <w:rFonts w:hint="eastAsia" w:hAnsi="宋体"/>
          <w:szCs w:val="32"/>
        </w:rPr>
        <w:t>交货  验收  付款</w:t>
      </w:r>
    </w:p>
    <w:p>
      <w:pPr>
        <w:pStyle w:val="5"/>
        <w:numPr>
          <w:ilvl w:val="0"/>
          <w:numId w:val="2"/>
        </w:numPr>
        <w:tabs>
          <w:tab w:val="left" w:pos="810"/>
        </w:tabs>
        <w:spacing w:before="140" w:after="140" w:line="360" w:lineRule="auto"/>
        <w:rPr>
          <w:rFonts w:hAnsi="宋体"/>
          <w:color w:val="000000"/>
          <w:sz w:val="30"/>
        </w:rPr>
      </w:pPr>
      <w:r>
        <w:rPr>
          <w:rFonts w:hint="eastAsia" w:hAnsi="宋体"/>
          <w:color w:val="000000"/>
          <w:sz w:val="30"/>
        </w:rPr>
        <w:t>验收及质量保证</w:t>
      </w:r>
    </w:p>
    <w:p>
      <w:pPr>
        <w:pStyle w:val="4"/>
        <w:numPr>
          <w:ilvl w:val="1"/>
          <w:numId w:val="2"/>
        </w:numPr>
        <w:spacing w:line="360" w:lineRule="auto"/>
        <w:rPr>
          <w:rFonts w:hAnsi="宋体"/>
          <w:kern w:val="2"/>
          <w:sz w:val="24"/>
        </w:rPr>
      </w:pPr>
      <w:r>
        <w:rPr>
          <w:rFonts w:hint="eastAsia" w:hAnsi="宋体"/>
          <w:kern w:val="2"/>
          <w:sz w:val="24"/>
        </w:rPr>
        <w:t>以通过仓库、使用部门、采购部门验收为准。以下是材质验收标准。</w:t>
      </w:r>
    </w:p>
    <w:p>
      <w:pPr>
        <w:pStyle w:val="5"/>
        <w:numPr>
          <w:ilvl w:val="0"/>
          <w:numId w:val="2"/>
        </w:numPr>
        <w:tabs>
          <w:tab w:val="clear" w:pos="587"/>
        </w:tabs>
        <w:spacing w:before="140" w:after="140" w:line="360" w:lineRule="auto"/>
        <w:ind w:left="359" w:leftChars="85" w:hanging="181"/>
        <w:rPr>
          <w:rFonts w:hAnsi="宋体"/>
          <w:b w:val="0"/>
          <w:kern w:val="2"/>
          <w:sz w:val="24"/>
        </w:rPr>
      </w:pPr>
      <w:r>
        <w:rPr>
          <w:rFonts w:hint="eastAsia" w:hAnsi="宋体"/>
          <w:color w:val="000000"/>
          <w:sz w:val="30"/>
        </w:rPr>
        <w:t xml:space="preserve"> 解释</w:t>
      </w:r>
      <w:r>
        <w:rPr>
          <w:rFonts w:hint="eastAsia" w:hAnsi="宋体"/>
          <w:color w:val="FF0000"/>
          <w:sz w:val="30"/>
        </w:rPr>
        <w:t xml:space="preserve">                                                                 </w:t>
      </w:r>
      <w:r>
        <w:rPr>
          <w:rFonts w:hint="eastAsia" w:hAnsi="宋体"/>
          <w:b w:val="0"/>
          <w:kern w:val="2"/>
          <w:sz w:val="24"/>
        </w:rPr>
        <w:t>36.1. 本谈判文件的解释权归恩施大峡谷旅游开发有限公司采购中心。</w:t>
      </w:r>
    </w:p>
    <w:p>
      <w:pPr>
        <w:rPr>
          <w:rFonts w:ascii="宋体" w:hAnsi="宋体"/>
          <w:b/>
          <w:bCs/>
          <w:sz w:val="36"/>
        </w:rPr>
      </w:pPr>
      <w:r>
        <w:rPr>
          <w:rFonts w:hint="eastAsia" w:hAnsi="宋体"/>
          <w:b/>
          <w:sz w:val="24"/>
        </w:rPr>
        <w:br w:type="page"/>
      </w:r>
      <w:r>
        <w:rPr>
          <w:rFonts w:hint="eastAsia" w:ascii="宋体" w:hAnsi="宋体"/>
          <w:b/>
          <w:bCs/>
          <w:sz w:val="36"/>
        </w:rPr>
        <w:t xml:space="preserve">       第二部份 </w:t>
      </w:r>
      <w:r>
        <w:rPr>
          <w:rFonts w:ascii="宋体" w:hAnsi="宋体"/>
          <w:b/>
          <w:bCs/>
          <w:sz w:val="36"/>
        </w:rPr>
        <w:t xml:space="preserve">  </w:t>
      </w:r>
      <w:r>
        <w:rPr>
          <w:rFonts w:hint="eastAsia" w:ascii="宋体" w:hAnsi="宋体"/>
          <w:b/>
          <w:bCs/>
          <w:sz w:val="36"/>
        </w:rPr>
        <w:t>项目概况及施工说明</w:t>
      </w:r>
    </w:p>
    <w:p>
      <w:pPr>
        <w:numPr>
          <w:ilvl w:val="0"/>
          <w:numId w:val="4"/>
        </w:numPr>
        <w:rPr>
          <w:rFonts w:ascii="宋体" w:hAnsi="宋体"/>
          <w:b/>
          <w:color w:val="000000"/>
          <w:sz w:val="24"/>
          <w:szCs w:val="20"/>
        </w:rPr>
      </w:pPr>
      <w:r>
        <w:rPr>
          <w:rFonts w:hint="eastAsia" w:ascii="宋体" w:hAnsi="宋体"/>
          <w:b/>
          <w:color w:val="000000"/>
          <w:sz w:val="24"/>
          <w:szCs w:val="20"/>
        </w:rPr>
        <w:t>项目概况与招标范围</w:t>
      </w:r>
    </w:p>
    <w:p>
      <w:pPr>
        <w:spacing w:line="400" w:lineRule="exact"/>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1、本次招标的项目为：①灯光、②音箱、③机械、④多媒体、⑤特效五大类定点供应商。</w:t>
      </w:r>
    </w:p>
    <w:p>
      <w:pPr>
        <w:spacing w:line="400" w:lineRule="exact"/>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2、招标范围：恩施大峡谷旅游开发有限公司《龙船调》实景剧场所需设备采购。</w:t>
      </w:r>
    </w:p>
    <w:p>
      <w:pPr>
        <w:widowControl/>
        <w:adjustRightInd w:val="0"/>
        <w:snapToGrid w:val="0"/>
        <w:spacing w:line="360" w:lineRule="auto"/>
        <w:jc w:val="left"/>
        <w:rPr>
          <w:rFonts w:ascii="宋体" w:hAnsi="宋体"/>
          <w:b/>
          <w:color w:val="000000" w:themeColor="text1"/>
          <w:sz w:val="24"/>
          <w:szCs w:val="20"/>
          <w14:textFill>
            <w14:solidFill>
              <w14:schemeClr w14:val="tx1"/>
            </w14:solidFill>
          </w14:textFill>
        </w:rPr>
      </w:pPr>
      <w:r>
        <w:rPr>
          <w:rFonts w:hint="eastAsia" w:ascii="宋体" w:hAnsi="宋体"/>
          <w:b/>
          <w:color w:val="000000" w:themeColor="text1"/>
          <w:sz w:val="24"/>
          <w:szCs w:val="20"/>
          <w14:textFill>
            <w14:solidFill>
              <w14:schemeClr w14:val="tx1"/>
            </w14:solidFill>
          </w14:textFill>
        </w:rPr>
        <w:t>二、项目采购清单</w:t>
      </w:r>
    </w:p>
    <w:p>
      <w:pPr>
        <w:spacing w:line="400" w:lineRule="exact"/>
        <w:rPr>
          <w:rFonts w:hint="eastAsia" w:ascii="宋体" w:hAnsi="宋体"/>
          <w:sz w:val="24"/>
          <w:szCs w:val="20"/>
        </w:rPr>
      </w:pPr>
      <w:r>
        <w:rPr>
          <w:rFonts w:hint="eastAsia" w:ascii="宋体" w:hAnsi="宋体"/>
          <w:color w:val="000000" w:themeColor="text1"/>
          <w:sz w:val="24"/>
          <w14:textFill>
            <w14:solidFill>
              <w14:schemeClr w14:val="tx1"/>
            </w14:solidFill>
          </w14:textFill>
        </w:rPr>
        <w:t>项目名称：恩施大峡谷旅游开发有限公司2019年度</w:t>
      </w:r>
      <w:r>
        <w:rPr>
          <w:rFonts w:hint="eastAsia" w:ascii="宋体" w:hAnsi="宋体"/>
          <w:sz w:val="24"/>
          <w:szCs w:val="20"/>
        </w:rPr>
        <w:t>恩施大峡谷旅游开发有限公司《龙船调》实景演出剧场2019年度对灯光、音响、机械、多媒体、特效和所属周边设备的定点采购项目</w:t>
      </w:r>
      <w:r>
        <w:rPr>
          <w:rFonts w:hint="eastAsia" w:ascii="宋体" w:hAnsi="宋体"/>
          <w:sz w:val="24"/>
          <w:szCs w:val="20"/>
          <w:lang w:eastAsia="zh-CN"/>
        </w:rPr>
        <w:t>。</w:t>
      </w:r>
      <w:r>
        <w:rPr>
          <w:rFonts w:hint="eastAsia" w:ascii="宋体" w:hAnsi="宋体"/>
          <w:sz w:val="24"/>
          <w:szCs w:val="20"/>
        </w:rPr>
        <w:t xml:space="preserve">   </w:t>
      </w:r>
    </w:p>
    <w:p>
      <w:pPr>
        <w:spacing w:line="400" w:lineRule="exact"/>
        <w:rPr>
          <w:rFonts w:ascii="宋体" w:hAnsi="宋体"/>
          <w:b/>
          <w:color w:val="000000" w:themeColor="text1"/>
          <w:sz w:val="24"/>
          <w:szCs w:val="20"/>
          <w14:textFill>
            <w14:solidFill>
              <w14:schemeClr w14:val="tx1"/>
            </w14:solidFill>
          </w14:textFill>
        </w:rPr>
      </w:pPr>
      <w:r>
        <w:rPr>
          <w:rFonts w:hint="eastAsia" w:ascii="宋体" w:hAnsi="宋体"/>
          <w:b/>
          <w:color w:val="000000" w:themeColor="text1"/>
          <w:sz w:val="24"/>
          <w:szCs w:val="20"/>
          <w14:textFill>
            <w14:solidFill>
              <w14:schemeClr w14:val="tx1"/>
            </w14:solidFill>
          </w14:textFill>
        </w:rPr>
        <w:t>三、项目维护清单</w:t>
      </w:r>
    </w:p>
    <w:p>
      <w:pPr>
        <w:spacing w:line="400" w:lineRule="exact"/>
        <w:rPr>
          <w:rFonts w:ascii="宋体" w:hAnsi="宋体"/>
          <w:color w:val="C00000"/>
          <w:sz w:val="24"/>
          <w:u w:val="single"/>
        </w:rPr>
      </w:pPr>
      <w:r>
        <w:rPr>
          <w:rFonts w:hint="eastAsia" w:ascii="宋体" w:hAnsi="宋体"/>
          <w:color w:val="000000" w:themeColor="text1"/>
          <w:sz w:val="24"/>
          <w14:textFill>
            <w14:solidFill>
              <w14:schemeClr w14:val="tx1"/>
            </w14:solidFill>
          </w14:textFill>
        </w:rPr>
        <w:t>项目名称：恩施大峡谷旅游开发有限公司2019年度</w:t>
      </w:r>
      <w:r>
        <w:rPr>
          <w:rFonts w:hint="eastAsia" w:ascii="宋体" w:hAnsi="宋体"/>
          <w:color w:val="000000" w:themeColor="text1"/>
          <w:sz w:val="24"/>
          <w:lang w:eastAsia="zh-CN"/>
          <w14:textFill>
            <w14:solidFill>
              <w14:schemeClr w14:val="tx1"/>
            </w14:solidFill>
          </w14:textFill>
        </w:rPr>
        <w:t>《龙船调》实景演出剧场灯光等设备</w:t>
      </w:r>
      <w:r>
        <w:rPr>
          <w:rFonts w:hint="eastAsia" w:ascii="宋体" w:hAnsi="宋体"/>
          <w:color w:val="000000" w:themeColor="text1"/>
          <w:sz w:val="24"/>
          <w14:textFill>
            <w14:solidFill>
              <w14:schemeClr w14:val="tx1"/>
            </w14:solidFill>
          </w14:textFill>
        </w:rPr>
        <w:t>维护</w:t>
      </w:r>
      <w:r>
        <w:rPr>
          <w:rFonts w:hint="eastAsia" w:ascii="宋体" w:hAnsi="宋体"/>
          <w:color w:val="000000" w:themeColor="text1"/>
          <w:sz w:val="24"/>
          <w:lang w:eastAsia="zh-CN"/>
          <w14:textFill>
            <w14:solidFill>
              <w14:schemeClr w14:val="tx1"/>
            </w14:solidFill>
          </w14:textFill>
        </w:rPr>
        <w:t>（详见附件报价清单）</w:t>
      </w:r>
      <w:r>
        <w:rPr>
          <w:rFonts w:hint="eastAsia" w:ascii="宋体" w:hAnsi="宋体"/>
          <w:color w:val="000000" w:themeColor="text1"/>
          <w:sz w:val="24"/>
          <w14:textFill>
            <w14:solidFill>
              <w14:schemeClr w14:val="tx1"/>
            </w14:solidFill>
          </w14:textFill>
        </w:rPr>
        <w:t>。</w:t>
      </w:r>
    </w:p>
    <w:p>
      <w:pPr>
        <w:rPr>
          <w:rFonts w:ascii="宋体" w:hAnsi="宋体"/>
          <w:b/>
          <w:color w:val="000000"/>
          <w:sz w:val="24"/>
          <w:szCs w:val="20"/>
        </w:rPr>
      </w:pPr>
      <w:r>
        <w:rPr>
          <w:rFonts w:hint="eastAsia" w:ascii="宋体" w:hAnsi="宋体"/>
          <w:b/>
          <w:color w:val="000000"/>
          <w:sz w:val="24"/>
          <w:szCs w:val="20"/>
        </w:rPr>
        <w:t>四、供应商资质要求</w:t>
      </w:r>
    </w:p>
    <w:p>
      <w:pPr>
        <w:rPr>
          <w:rFonts w:ascii="宋体" w:hAnsi="宋体"/>
          <w:sz w:val="24"/>
          <w:szCs w:val="20"/>
        </w:rPr>
      </w:pPr>
      <w:r>
        <w:rPr>
          <w:rFonts w:hint="eastAsia" w:ascii="宋体" w:hAnsi="宋体"/>
          <w:sz w:val="24"/>
          <w:szCs w:val="20"/>
        </w:rPr>
        <w:t>（一）具有独立承担民事责任的能力；（提供有效的营业执照副本原件）</w:t>
      </w:r>
    </w:p>
    <w:p>
      <w:pPr>
        <w:rPr>
          <w:rFonts w:ascii="宋体" w:hAnsi="宋体"/>
          <w:sz w:val="24"/>
          <w:szCs w:val="20"/>
        </w:rPr>
      </w:pPr>
      <w:r>
        <w:rPr>
          <w:rFonts w:hint="eastAsia" w:ascii="宋体" w:hAnsi="宋体"/>
          <w:sz w:val="24"/>
          <w:szCs w:val="20"/>
        </w:rPr>
        <w:t>（二）具有良好的商业信誉和健全的财务会计制度；</w:t>
      </w:r>
    </w:p>
    <w:p>
      <w:pPr>
        <w:rPr>
          <w:rFonts w:ascii="宋体" w:hAnsi="宋体"/>
          <w:sz w:val="24"/>
          <w:szCs w:val="20"/>
        </w:rPr>
      </w:pPr>
      <w:r>
        <w:rPr>
          <w:rFonts w:hint="eastAsia" w:ascii="宋体" w:hAnsi="宋体"/>
          <w:sz w:val="24"/>
          <w:szCs w:val="20"/>
        </w:rPr>
        <w:t>（三）具有履行合同所必需的设备和专业技术能力；（提供承诺函，格式自拟）</w:t>
      </w:r>
    </w:p>
    <w:p>
      <w:pPr>
        <w:rPr>
          <w:rFonts w:ascii="宋体" w:hAnsi="宋体"/>
          <w:sz w:val="24"/>
          <w:szCs w:val="20"/>
        </w:rPr>
      </w:pPr>
      <w:r>
        <w:rPr>
          <w:rFonts w:hint="eastAsia" w:ascii="宋体" w:hAnsi="宋体"/>
          <w:sz w:val="24"/>
          <w:szCs w:val="20"/>
        </w:rPr>
        <w:t>（四）有依法交纳税收和社会保障资金的能力及良好记录；（提供近三个月的完税证明及社保缴纳证明）</w:t>
      </w:r>
    </w:p>
    <w:p>
      <w:pPr>
        <w:rPr>
          <w:rFonts w:ascii="宋体" w:hAnsi="宋体"/>
          <w:sz w:val="24"/>
          <w:szCs w:val="20"/>
        </w:rPr>
      </w:pPr>
      <w:r>
        <w:rPr>
          <w:rFonts w:hint="eastAsia" w:ascii="宋体" w:hAnsi="宋体"/>
          <w:sz w:val="24"/>
          <w:szCs w:val="20"/>
        </w:rPr>
        <w:t>（五）本项目不接受联合体投标。</w:t>
      </w:r>
    </w:p>
    <w:p>
      <w:pPr>
        <w:rPr>
          <w:rFonts w:ascii="宋体" w:hAnsi="宋体"/>
          <w:b/>
          <w:color w:val="000000"/>
          <w:sz w:val="24"/>
          <w:szCs w:val="20"/>
        </w:rPr>
      </w:pPr>
      <w:r>
        <w:rPr>
          <w:rFonts w:hint="eastAsia" w:ascii="宋体" w:hAnsi="宋体"/>
          <w:b/>
          <w:color w:val="000000"/>
          <w:sz w:val="24"/>
          <w:szCs w:val="20"/>
        </w:rPr>
        <w:t>五、验收要求：</w:t>
      </w:r>
    </w:p>
    <w:p>
      <w:pPr>
        <w:ind w:firstLine="540" w:firstLineChars="225"/>
        <w:rPr>
          <w:rFonts w:ascii="宋体" w:hAnsi="宋体"/>
          <w:bCs/>
          <w:color w:val="000000"/>
          <w:sz w:val="24"/>
          <w:szCs w:val="20"/>
        </w:rPr>
      </w:pPr>
      <w:r>
        <w:rPr>
          <w:rFonts w:hint="eastAsia" w:ascii="宋体" w:hAnsi="宋体"/>
          <w:bCs/>
          <w:color w:val="000000"/>
          <w:sz w:val="24"/>
          <w:szCs w:val="20"/>
        </w:rPr>
        <w:t>以通过大峡谷旅游开发有限公司</w:t>
      </w:r>
      <w:r>
        <w:rPr>
          <w:rFonts w:hint="eastAsia" w:ascii="宋体" w:hAnsi="宋体"/>
          <w:bCs/>
          <w:color w:val="000000"/>
          <w:sz w:val="24"/>
          <w:szCs w:val="20"/>
          <w:lang w:eastAsia="zh-CN"/>
        </w:rPr>
        <w:t>《龙船调》实景演出剧场相关</w:t>
      </w:r>
      <w:r>
        <w:rPr>
          <w:rFonts w:hint="eastAsia" w:hAnsi="宋体"/>
          <w:color w:val="000000" w:themeColor="text1"/>
          <w:sz w:val="24"/>
          <w14:textFill>
            <w14:solidFill>
              <w14:schemeClr w14:val="tx1"/>
            </w14:solidFill>
          </w14:textFill>
        </w:rPr>
        <w:t>部门</w:t>
      </w:r>
      <w:r>
        <w:rPr>
          <w:rFonts w:hint="eastAsia" w:ascii="宋体" w:hAnsi="宋体"/>
          <w:bCs/>
          <w:color w:val="000000" w:themeColor="text1"/>
          <w:sz w:val="24"/>
          <w:szCs w:val="20"/>
          <w14:textFill>
            <w14:solidFill>
              <w14:schemeClr w14:val="tx1"/>
            </w14:solidFill>
          </w14:textFill>
        </w:rPr>
        <w:t>验收为准</w:t>
      </w:r>
      <w:r>
        <w:rPr>
          <w:rFonts w:hint="eastAsia" w:ascii="宋体" w:hAnsi="宋体"/>
          <w:bCs/>
          <w:color w:val="000000"/>
          <w:sz w:val="24"/>
          <w:szCs w:val="20"/>
        </w:rPr>
        <w:t>。</w:t>
      </w:r>
    </w:p>
    <w:p>
      <w:pPr>
        <w:ind w:firstLine="1428" w:firstLineChars="595"/>
        <w:rPr>
          <w:rFonts w:ascii="宋体" w:hAnsi="宋体"/>
          <w:color w:val="000000"/>
          <w:sz w:val="24"/>
          <w:szCs w:val="20"/>
        </w:rPr>
      </w:pPr>
      <w:r>
        <w:rPr>
          <w:rFonts w:hint="eastAsia" w:ascii="宋体" w:hAnsi="宋体"/>
          <w:color w:val="000000"/>
          <w:sz w:val="24"/>
          <w:szCs w:val="20"/>
        </w:rPr>
        <w:t xml:space="preserve">              </w:t>
      </w:r>
    </w:p>
    <w:p>
      <w:pPr>
        <w:ind w:firstLine="1428" w:firstLineChars="595"/>
        <w:rPr>
          <w:rFonts w:ascii="宋体" w:hAnsi="宋体"/>
          <w:color w:val="000000"/>
          <w:sz w:val="24"/>
          <w:szCs w:val="20"/>
        </w:rPr>
      </w:pPr>
    </w:p>
    <w:p>
      <w:pPr>
        <w:ind w:firstLine="1428" w:firstLineChars="595"/>
        <w:rPr>
          <w:rFonts w:ascii="宋体" w:hAnsi="宋体"/>
          <w:color w:val="000000"/>
          <w:sz w:val="24"/>
          <w:szCs w:val="20"/>
        </w:rPr>
      </w:pPr>
    </w:p>
    <w:p>
      <w:pPr>
        <w:ind w:firstLine="1428" w:firstLineChars="595"/>
        <w:rPr>
          <w:rFonts w:ascii="宋体" w:hAnsi="宋体"/>
          <w:color w:val="000000"/>
          <w:sz w:val="24"/>
          <w:szCs w:val="20"/>
        </w:rPr>
      </w:pPr>
    </w:p>
    <w:p>
      <w:pPr>
        <w:ind w:firstLine="1428" w:firstLineChars="595"/>
        <w:rPr>
          <w:rFonts w:ascii="宋体" w:hAnsi="宋体"/>
          <w:color w:val="000000"/>
          <w:sz w:val="24"/>
          <w:szCs w:val="20"/>
        </w:rPr>
      </w:pPr>
    </w:p>
    <w:p>
      <w:pPr>
        <w:ind w:firstLine="1428" w:firstLineChars="595"/>
        <w:rPr>
          <w:rFonts w:ascii="宋体" w:hAnsi="宋体"/>
          <w:color w:val="000000"/>
          <w:sz w:val="24"/>
          <w:szCs w:val="20"/>
        </w:rPr>
      </w:pPr>
    </w:p>
    <w:p>
      <w:pPr>
        <w:ind w:firstLine="1428" w:firstLineChars="595"/>
        <w:rPr>
          <w:rFonts w:ascii="宋体" w:hAnsi="宋体"/>
          <w:color w:val="000000"/>
          <w:sz w:val="24"/>
          <w:szCs w:val="20"/>
        </w:rPr>
      </w:pPr>
    </w:p>
    <w:p>
      <w:pPr>
        <w:ind w:firstLine="1428" w:firstLineChars="595"/>
        <w:rPr>
          <w:rFonts w:ascii="宋体" w:hAnsi="宋体"/>
          <w:color w:val="000000"/>
          <w:sz w:val="24"/>
          <w:szCs w:val="20"/>
        </w:rPr>
      </w:pPr>
    </w:p>
    <w:p>
      <w:pPr>
        <w:ind w:firstLine="1428" w:firstLineChars="595"/>
        <w:rPr>
          <w:rFonts w:ascii="宋体" w:hAnsi="宋体"/>
          <w:color w:val="000000"/>
          <w:sz w:val="24"/>
          <w:szCs w:val="20"/>
        </w:rPr>
      </w:pPr>
    </w:p>
    <w:p>
      <w:pPr>
        <w:ind w:firstLine="1428" w:firstLineChars="595"/>
        <w:rPr>
          <w:rFonts w:ascii="宋体" w:hAnsi="宋体"/>
          <w:color w:val="000000"/>
          <w:sz w:val="24"/>
          <w:szCs w:val="20"/>
        </w:rPr>
      </w:pPr>
    </w:p>
    <w:p>
      <w:pPr>
        <w:ind w:firstLine="1428" w:firstLineChars="595"/>
        <w:rPr>
          <w:rFonts w:ascii="宋体" w:hAnsi="宋体"/>
          <w:color w:val="000000"/>
          <w:sz w:val="24"/>
          <w:szCs w:val="20"/>
        </w:rPr>
      </w:pPr>
    </w:p>
    <w:p>
      <w:pPr>
        <w:jc w:val="center"/>
        <w:rPr>
          <w:rFonts w:ascii="宋体" w:hAnsi="宋体"/>
          <w:b/>
          <w:bCs/>
          <w:sz w:val="36"/>
        </w:rPr>
      </w:pPr>
      <w:r>
        <w:rPr>
          <w:rFonts w:hint="eastAsia" w:ascii="宋体" w:hAnsi="宋体"/>
          <w:b/>
          <w:bCs/>
          <w:sz w:val="36"/>
        </w:rPr>
        <w:t xml:space="preserve">第三部份 </w:t>
      </w:r>
      <w:r>
        <w:rPr>
          <w:rFonts w:ascii="宋体" w:hAnsi="宋体"/>
          <w:b/>
          <w:bCs/>
          <w:sz w:val="36"/>
        </w:rPr>
        <w:t xml:space="preserve">  </w:t>
      </w:r>
      <w:r>
        <w:rPr>
          <w:rFonts w:hint="eastAsia" w:ascii="宋体" w:hAnsi="宋体"/>
          <w:b/>
          <w:bCs/>
          <w:sz w:val="36"/>
        </w:rPr>
        <w:t>谈判响应文件格式</w:t>
      </w:r>
    </w:p>
    <w:p>
      <w:pPr>
        <w:pStyle w:val="3"/>
        <w:spacing w:line="240" w:lineRule="auto"/>
        <w:ind w:left="359" w:leftChars="171"/>
        <w:rPr>
          <w:rFonts w:ascii="宋体" w:hAnsi="宋体" w:eastAsia="宋体"/>
          <w:color w:val="000000"/>
          <w:sz w:val="24"/>
        </w:rPr>
      </w:pPr>
      <w:r>
        <w:rPr>
          <w:rFonts w:hint="eastAsia" w:ascii="宋体" w:hAnsi="宋体" w:eastAsia="宋体"/>
          <w:sz w:val="24"/>
        </w:rPr>
        <w:t>附件一：</w:t>
      </w:r>
      <w:r>
        <w:rPr>
          <w:rFonts w:ascii="宋体" w:hAnsi="宋体" w:eastAsia="宋体"/>
          <w:sz w:val="24"/>
        </w:rPr>
        <w:t xml:space="preserve"> </w:t>
      </w:r>
      <w:r>
        <w:rPr>
          <w:rFonts w:hint="eastAsia" w:ascii="宋体" w:hAnsi="宋体" w:eastAsia="宋体"/>
          <w:sz w:val="24"/>
        </w:rPr>
        <w:t>投</w:t>
      </w:r>
      <w:r>
        <w:rPr>
          <w:rFonts w:ascii="宋体" w:hAnsi="宋体" w:eastAsia="宋体"/>
          <w:sz w:val="24"/>
        </w:rPr>
        <w:t xml:space="preserve"> </w:t>
      </w:r>
      <w:r>
        <w:rPr>
          <w:rFonts w:hint="eastAsia" w:ascii="宋体" w:hAnsi="宋体" w:eastAsia="宋体"/>
          <w:sz w:val="24"/>
        </w:rPr>
        <w:t>标</w:t>
      </w:r>
      <w:r>
        <w:rPr>
          <w:rFonts w:ascii="宋体" w:hAnsi="宋体" w:eastAsia="宋体"/>
          <w:sz w:val="24"/>
        </w:rPr>
        <w:t xml:space="preserve"> </w:t>
      </w:r>
      <w:r>
        <w:rPr>
          <w:rFonts w:hint="eastAsia" w:ascii="宋体" w:hAnsi="宋体" w:eastAsia="宋体"/>
          <w:sz w:val="24"/>
        </w:rPr>
        <w:t>函（样式）</w:t>
      </w:r>
    </w:p>
    <w:p>
      <w:pPr>
        <w:pStyle w:val="10"/>
        <w:spacing w:line="360" w:lineRule="auto"/>
        <w:ind w:left="359" w:leftChars="171"/>
        <w:rPr>
          <w:rFonts w:hAnsi="宋体"/>
          <w:color w:val="000000"/>
          <w:sz w:val="24"/>
        </w:rPr>
      </w:pPr>
      <w:r>
        <w:rPr>
          <w:rFonts w:hint="eastAsia" w:hAnsi="宋体"/>
          <w:color w:val="000000"/>
          <w:sz w:val="24"/>
          <w:u w:val="single"/>
        </w:rPr>
        <w:t>恩施大峡谷旅游开发有限公司采购中心</w:t>
      </w:r>
      <w:r>
        <w:rPr>
          <w:rFonts w:hint="eastAsia" w:hAnsi="宋体"/>
          <w:color w:val="000000"/>
          <w:sz w:val="24"/>
        </w:rPr>
        <w:t>：</w:t>
      </w:r>
    </w:p>
    <w:p>
      <w:pPr>
        <w:pStyle w:val="10"/>
        <w:spacing w:line="360" w:lineRule="auto"/>
        <w:ind w:left="359" w:leftChars="171"/>
        <w:rPr>
          <w:rFonts w:hAnsi="宋体"/>
          <w:color w:val="000000"/>
          <w:sz w:val="24"/>
        </w:rPr>
      </w:pPr>
      <w:r>
        <w:rPr>
          <w:rFonts w:hint="eastAsia" w:hAnsi="宋体"/>
          <w:color w:val="000000"/>
          <w:sz w:val="24"/>
        </w:rPr>
        <w:t xml:space="preserve">    1.根据已收到的编号为</w:t>
      </w:r>
      <w:r>
        <w:rPr>
          <w:rFonts w:hAnsi="宋体"/>
          <w:color w:val="000000"/>
          <w:sz w:val="24"/>
        </w:rPr>
        <w:t>_______</w:t>
      </w:r>
      <w:r>
        <w:rPr>
          <w:rFonts w:hint="eastAsia" w:hAnsi="宋体"/>
          <w:color w:val="000000"/>
          <w:sz w:val="24"/>
        </w:rPr>
        <w:t>的</w:t>
      </w:r>
      <w:r>
        <w:rPr>
          <w:rFonts w:hAnsi="宋体"/>
          <w:color w:val="000000"/>
          <w:sz w:val="24"/>
        </w:rPr>
        <w:t>______________</w:t>
      </w:r>
      <w:r>
        <w:rPr>
          <w:rFonts w:hint="eastAsia" w:hAnsi="宋体"/>
          <w:color w:val="000000"/>
          <w:sz w:val="24"/>
        </w:rPr>
        <w:t>项目的</w:t>
      </w:r>
      <w:r>
        <w:rPr>
          <w:rFonts w:hint="eastAsia" w:hAnsi="宋体"/>
          <w:sz w:val="24"/>
        </w:rPr>
        <w:t>谈判</w:t>
      </w:r>
      <w:r>
        <w:rPr>
          <w:rFonts w:hint="eastAsia" w:hAnsi="宋体"/>
          <w:color w:val="000000"/>
          <w:sz w:val="24"/>
        </w:rPr>
        <w:t>文件，遵照国家相关法规的规定，我公司经考察现场和研究上述项目，确定本项目预算价为</w:t>
      </w:r>
      <w:r>
        <w:rPr>
          <w:rFonts w:hint="eastAsia" w:hAnsi="宋体"/>
          <w:color w:val="000000"/>
          <w:sz w:val="24"/>
          <w:u w:val="single"/>
        </w:rPr>
        <w:t xml:space="preserve">            （大写）    </w:t>
      </w:r>
      <w:r>
        <w:rPr>
          <w:rFonts w:hint="eastAsia" w:hAnsi="宋体"/>
          <w:color w:val="000000"/>
          <w:sz w:val="24"/>
        </w:rPr>
        <w:t xml:space="preserve">  ，我方完全接受</w:t>
      </w:r>
      <w:r>
        <w:rPr>
          <w:rFonts w:hint="eastAsia" w:hAnsi="宋体"/>
          <w:sz w:val="24"/>
        </w:rPr>
        <w:t>谈判</w:t>
      </w:r>
      <w:r>
        <w:rPr>
          <w:rFonts w:hint="eastAsia" w:hAnsi="宋体"/>
          <w:color w:val="000000"/>
          <w:sz w:val="24"/>
        </w:rPr>
        <w:t>文件的所有条款，我方愿以谈判总报价</w:t>
      </w:r>
      <w:r>
        <w:rPr>
          <w:rFonts w:hint="eastAsia" w:hAnsi="宋体"/>
          <w:color w:val="000000"/>
          <w:sz w:val="24"/>
          <w:u w:val="single"/>
        </w:rPr>
        <w:t xml:space="preserve">            （大写）</w:t>
      </w:r>
      <w:r>
        <w:rPr>
          <w:rFonts w:hint="eastAsia" w:hAnsi="宋体"/>
          <w:color w:val="000000"/>
          <w:sz w:val="24"/>
        </w:rPr>
        <w:t>的价格进行承包。</w:t>
      </w:r>
    </w:p>
    <w:p>
      <w:pPr>
        <w:pStyle w:val="10"/>
        <w:spacing w:line="360" w:lineRule="auto"/>
        <w:ind w:left="359" w:leftChars="171"/>
        <w:rPr>
          <w:rFonts w:hAnsi="宋体"/>
          <w:color w:val="000000"/>
          <w:sz w:val="24"/>
        </w:rPr>
      </w:pPr>
      <w:r>
        <w:rPr>
          <w:rFonts w:hint="eastAsia" w:hAnsi="宋体"/>
          <w:color w:val="000000"/>
          <w:sz w:val="24"/>
        </w:rPr>
        <w:t xml:space="preserve">    2.一旦我方被确定为成交供应商，我方保证</w:t>
      </w:r>
      <w:r>
        <w:rPr>
          <w:rFonts w:hAnsi="宋体"/>
          <w:color w:val="000000"/>
          <w:sz w:val="24"/>
        </w:rPr>
        <w:t>_______</w:t>
      </w:r>
      <w:r>
        <w:rPr>
          <w:rFonts w:hint="eastAsia" w:hAnsi="宋体"/>
          <w:color w:val="000000"/>
          <w:sz w:val="24"/>
        </w:rPr>
        <w:t>天（日历日）内完成项目，验收、质量达到</w:t>
      </w:r>
      <w:r>
        <w:rPr>
          <w:rFonts w:hAnsi="宋体"/>
          <w:color w:val="000000"/>
          <w:sz w:val="24"/>
        </w:rPr>
        <w:t>_______</w:t>
      </w:r>
      <w:r>
        <w:rPr>
          <w:rFonts w:hint="eastAsia" w:hAnsi="宋体"/>
          <w:color w:val="000000"/>
          <w:sz w:val="24"/>
          <w:u w:val="single"/>
        </w:rPr>
        <w:t>（等级）</w:t>
      </w:r>
      <w:r>
        <w:rPr>
          <w:rFonts w:hint="eastAsia" w:hAnsi="宋体"/>
          <w:color w:val="000000"/>
          <w:sz w:val="24"/>
        </w:rPr>
        <w:t>要求。</w:t>
      </w:r>
    </w:p>
    <w:p>
      <w:pPr>
        <w:pStyle w:val="10"/>
        <w:spacing w:line="360" w:lineRule="auto"/>
        <w:ind w:left="359" w:leftChars="171" w:firstLine="480" w:firstLineChars="200"/>
        <w:rPr>
          <w:rFonts w:hAnsi="宋体"/>
          <w:color w:val="000000"/>
          <w:sz w:val="24"/>
        </w:rPr>
      </w:pPr>
      <w:r>
        <w:rPr>
          <w:rFonts w:hint="eastAsia" w:hAnsi="宋体"/>
          <w:color w:val="000000"/>
          <w:sz w:val="24"/>
        </w:rPr>
        <w:t>3.我方已详细审查和阅读全部</w:t>
      </w:r>
      <w:r>
        <w:rPr>
          <w:rFonts w:hint="eastAsia" w:hAnsi="宋体"/>
          <w:sz w:val="24"/>
        </w:rPr>
        <w:t>谈判</w:t>
      </w:r>
      <w:r>
        <w:rPr>
          <w:rFonts w:hint="eastAsia" w:hAnsi="宋体"/>
          <w:color w:val="000000"/>
          <w:sz w:val="24"/>
        </w:rPr>
        <w:t>文件，包括修改文件及全部参考资料和有关附件。我们完全理解并同意放弃对这方面不明及误解的权利。</w:t>
      </w:r>
    </w:p>
    <w:p>
      <w:pPr>
        <w:pStyle w:val="10"/>
        <w:spacing w:line="360" w:lineRule="auto"/>
        <w:ind w:left="359" w:leftChars="171" w:firstLine="480" w:firstLineChars="200"/>
        <w:rPr>
          <w:rFonts w:hAnsi="宋体"/>
          <w:color w:val="000000"/>
          <w:sz w:val="24"/>
        </w:rPr>
      </w:pPr>
      <w:r>
        <w:rPr>
          <w:rFonts w:hint="eastAsia" w:hAnsi="宋体"/>
          <w:color w:val="000000"/>
          <w:sz w:val="24"/>
        </w:rPr>
        <w:t>4.如果我方中标，正式合同签订前，中标通知书、谈判文件和本谈判响应文件将构成约束我们双方的合同。</w:t>
      </w:r>
    </w:p>
    <w:p>
      <w:pPr>
        <w:pStyle w:val="10"/>
        <w:spacing w:line="360" w:lineRule="auto"/>
        <w:ind w:left="359" w:leftChars="171"/>
        <w:rPr>
          <w:rFonts w:hAnsi="宋体"/>
          <w:color w:val="000000"/>
          <w:sz w:val="24"/>
        </w:rPr>
      </w:pPr>
      <w:r>
        <w:rPr>
          <w:rFonts w:hint="eastAsia" w:hAnsi="宋体"/>
          <w:color w:val="000000"/>
          <w:sz w:val="24"/>
        </w:rPr>
        <w:t xml:space="preserve">    5.我方金额为</w:t>
      </w:r>
      <w:r>
        <w:rPr>
          <w:rFonts w:hint="eastAsia" w:hAnsi="宋体"/>
          <w:color w:val="000000"/>
          <w:sz w:val="24"/>
          <w:u w:val="single"/>
        </w:rPr>
        <w:t xml:space="preserve">          </w:t>
      </w:r>
      <w:r>
        <w:rPr>
          <w:rFonts w:hint="eastAsia" w:hAnsi="宋体"/>
          <w:color w:val="000000"/>
          <w:sz w:val="24"/>
        </w:rPr>
        <w:t>的谈判保证金与本投标函同时递交。</w:t>
      </w:r>
    </w:p>
    <w:p>
      <w:pPr>
        <w:spacing w:line="360" w:lineRule="auto"/>
        <w:ind w:left="359" w:leftChars="171" w:firstLine="480" w:firstLineChars="200"/>
        <w:rPr>
          <w:rFonts w:ascii="宋体" w:hAnsi="宋体"/>
          <w:color w:val="000000"/>
          <w:sz w:val="24"/>
        </w:rPr>
      </w:pPr>
      <w:r>
        <w:rPr>
          <w:rFonts w:hint="eastAsia" w:ascii="宋体" w:hAnsi="宋体"/>
          <w:color w:val="000000"/>
          <w:sz w:val="24"/>
        </w:rPr>
        <w:t>6.</w:t>
      </w:r>
      <w:r>
        <w:rPr>
          <w:rFonts w:ascii="宋体" w:hAnsi="宋体"/>
          <w:color w:val="000000"/>
          <w:sz w:val="24"/>
        </w:rPr>
        <w:t>如果我方</w:t>
      </w:r>
      <w:r>
        <w:rPr>
          <w:rFonts w:hint="eastAsia" w:ascii="宋体" w:hAnsi="宋体"/>
          <w:color w:val="000000"/>
          <w:sz w:val="24"/>
        </w:rPr>
        <w:t>被确定为成交供应商</w:t>
      </w:r>
      <w:r>
        <w:rPr>
          <w:rFonts w:ascii="宋体" w:hAnsi="宋体"/>
          <w:color w:val="000000"/>
          <w:sz w:val="24"/>
        </w:rPr>
        <w:t>，我方将按照规定提交履约保证金，作为承担责任的保证。</w:t>
      </w:r>
    </w:p>
    <w:p>
      <w:pPr>
        <w:pStyle w:val="10"/>
        <w:spacing w:line="360" w:lineRule="auto"/>
        <w:ind w:firstLine="720" w:firstLineChars="300"/>
        <w:rPr>
          <w:rFonts w:hAnsi="宋体"/>
          <w:color w:val="000000"/>
          <w:sz w:val="24"/>
        </w:rPr>
      </w:pPr>
      <w:r>
        <w:rPr>
          <w:rFonts w:hint="eastAsia" w:hAnsi="宋体"/>
          <w:color w:val="000000"/>
          <w:sz w:val="24"/>
        </w:rPr>
        <w:t xml:space="preserve"> 响应供应商：（盖章）                    单位地址：</w:t>
      </w:r>
    </w:p>
    <w:p>
      <w:pPr>
        <w:pStyle w:val="10"/>
        <w:spacing w:line="360" w:lineRule="auto"/>
        <w:ind w:left="359" w:leftChars="171"/>
        <w:rPr>
          <w:rFonts w:hAnsi="宋体"/>
          <w:color w:val="000000"/>
          <w:sz w:val="24"/>
        </w:rPr>
      </w:pPr>
      <w:r>
        <w:rPr>
          <w:rFonts w:hint="eastAsia" w:hAnsi="宋体"/>
          <w:color w:val="000000"/>
          <w:sz w:val="24"/>
        </w:rPr>
        <w:t xml:space="preserve">    法定代表人：（签字或盖章）              邮政编码：</w:t>
      </w:r>
    </w:p>
    <w:p>
      <w:pPr>
        <w:pStyle w:val="10"/>
        <w:spacing w:line="360" w:lineRule="auto"/>
        <w:ind w:left="359" w:leftChars="171"/>
        <w:rPr>
          <w:rFonts w:hAnsi="宋体"/>
          <w:color w:val="000000"/>
          <w:sz w:val="24"/>
        </w:rPr>
      </w:pPr>
      <w:r>
        <w:rPr>
          <w:rFonts w:hint="eastAsia" w:hAnsi="宋体"/>
          <w:color w:val="000000"/>
          <w:sz w:val="24"/>
        </w:rPr>
        <w:t xml:space="preserve">    电  话：                               传    真：</w:t>
      </w:r>
    </w:p>
    <w:p>
      <w:pPr>
        <w:pStyle w:val="10"/>
        <w:spacing w:line="360" w:lineRule="auto"/>
        <w:ind w:left="359" w:leftChars="171"/>
        <w:rPr>
          <w:rFonts w:hAnsi="宋体"/>
          <w:color w:val="000000"/>
          <w:sz w:val="24"/>
        </w:rPr>
      </w:pPr>
      <w:r>
        <w:rPr>
          <w:rFonts w:hint="eastAsia" w:hAnsi="宋体"/>
          <w:color w:val="000000"/>
          <w:sz w:val="24"/>
        </w:rPr>
        <w:t xml:space="preserve">    开户银行名称：                         银行帐号：</w:t>
      </w:r>
    </w:p>
    <w:p>
      <w:pPr>
        <w:pStyle w:val="10"/>
        <w:spacing w:line="360" w:lineRule="auto"/>
        <w:ind w:left="359" w:leftChars="171" w:firstLine="480" w:firstLineChars="200"/>
        <w:rPr>
          <w:rFonts w:hAnsi="宋体"/>
          <w:color w:val="000000"/>
          <w:sz w:val="24"/>
        </w:rPr>
      </w:pPr>
      <w:r>
        <w:rPr>
          <w:rFonts w:hint="eastAsia" w:hAnsi="宋体"/>
          <w:color w:val="000000"/>
          <w:sz w:val="24"/>
        </w:rPr>
        <w:t>开户行地址                    日期：</w:t>
      </w:r>
      <w:r>
        <w:rPr>
          <w:rFonts w:hAnsi="宋体"/>
          <w:color w:val="000000"/>
          <w:sz w:val="24"/>
        </w:rPr>
        <w:t>_______</w:t>
      </w:r>
      <w:r>
        <w:rPr>
          <w:rFonts w:hint="eastAsia" w:hAnsi="宋体"/>
          <w:color w:val="000000"/>
          <w:sz w:val="24"/>
        </w:rPr>
        <w:t>年</w:t>
      </w:r>
      <w:r>
        <w:rPr>
          <w:rFonts w:hAnsi="宋体"/>
          <w:color w:val="000000"/>
          <w:sz w:val="24"/>
        </w:rPr>
        <w:t>_______</w:t>
      </w:r>
      <w:r>
        <w:rPr>
          <w:rFonts w:hint="eastAsia" w:hAnsi="宋体"/>
          <w:color w:val="000000"/>
          <w:sz w:val="24"/>
        </w:rPr>
        <w:t>月</w:t>
      </w:r>
      <w:r>
        <w:rPr>
          <w:rFonts w:hAnsi="宋体"/>
          <w:color w:val="000000"/>
          <w:sz w:val="24"/>
        </w:rPr>
        <w:t>_______</w:t>
      </w:r>
      <w:r>
        <w:rPr>
          <w:rFonts w:hint="eastAsia" w:hAnsi="宋体"/>
          <w:color w:val="000000"/>
          <w:sz w:val="24"/>
        </w:rPr>
        <w:t>日</w:t>
      </w:r>
    </w:p>
    <w:p>
      <w:pPr>
        <w:rPr>
          <w:rFonts w:ascii="黑体" w:hAnsi="宋体" w:eastAsia="黑体"/>
          <w:sz w:val="32"/>
        </w:rPr>
      </w:pPr>
      <w:r>
        <w:rPr>
          <w:rFonts w:ascii="黑体" w:hAnsi="宋体" w:eastAsia="黑体"/>
          <w:sz w:val="32"/>
        </w:rPr>
        <w:br w:type="page"/>
      </w:r>
      <w:r>
        <w:rPr>
          <w:rFonts w:hint="eastAsia" w:ascii="宋体" w:hAnsi="宋体"/>
          <w:b/>
          <w:sz w:val="24"/>
        </w:rPr>
        <w:t>附件二：合同协议书</w:t>
      </w:r>
    </w:p>
    <w:p>
      <w:pPr>
        <w:jc w:val="center"/>
        <w:rPr>
          <w:rFonts w:ascii="宋体" w:hAnsi="宋体"/>
          <w:sz w:val="28"/>
        </w:rPr>
      </w:pPr>
    </w:p>
    <w:p>
      <w:pPr>
        <w:spacing w:line="440" w:lineRule="exact"/>
        <w:ind w:firstLine="460" w:firstLineChars="192"/>
        <w:rPr>
          <w:rFonts w:ascii="宋体" w:hAnsi="宋体"/>
          <w:sz w:val="24"/>
        </w:rPr>
      </w:pPr>
      <w:r>
        <w:rPr>
          <w:rFonts w:hint="eastAsia" w:ascii="宋体" w:hAnsi="宋体"/>
          <w:sz w:val="24"/>
        </w:rPr>
        <w:t>甲方：</w:t>
      </w:r>
      <w:r>
        <w:rPr>
          <w:rFonts w:hint="eastAsia" w:ascii="宋体" w:hAnsi="宋体"/>
          <w:sz w:val="24"/>
          <w:u w:val="single"/>
        </w:rPr>
        <w:t xml:space="preserve">                                 </w:t>
      </w:r>
      <w:r>
        <w:rPr>
          <w:rFonts w:hint="eastAsia" w:ascii="宋体" w:hAnsi="宋体"/>
          <w:sz w:val="24"/>
        </w:rPr>
        <w:t>（全称）</w:t>
      </w:r>
    </w:p>
    <w:p>
      <w:pPr>
        <w:spacing w:line="440" w:lineRule="exact"/>
        <w:ind w:firstLine="460" w:firstLineChars="192"/>
        <w:rPr>
          <w:rFonts w:ascii="宋体" w:hAnsi="宋体"/>
          <w:sz w:val="24"/>
        </w:rPr>
      </w:pPr>
      <w:r>
        <w:rPr>
          <w:rFonts w:hint="eastAsia" w:ascii="宋体" w:hAnsi="宋体"/>
          <w:sz w:val="24"/>
        </w:rPr>
        <w:t>乙方：</w:t>
      </w:r>
      <w:r>
        <w:rPr>
          <w:rFonts w:hint="eastAsia" w:ascii="宋体" w:hAnsi="宋体"/>
          <w:sz w:val="24"/>
          <w:u w:val="single"/>
        </w:rPr>
        <w:t xml:space="preserve">                                 </w:t>
      </w:r>
      <w:r>
        <w:rPr>
          <w:rFonts w:hint="eastAsia" w:ascii="宋体" w:hAnsi="宋体"/>
          <w:sz w:val="24"/>
        </w:rPr>
        <w:t>（全称）</w:t>
      </w:r>
    </w:p>
    <w:p>
      <w:pPr>
        <w:pStyle w:val="16"/>
        <w:spacing w:line="440" w:lineRule="exact"/>
        <w:ind w:left="359" w:leftChars="171" w:firstLine="470" w:firstLineChars="195"/>
        <w:rPr>
          <w:rFonts w:ascii="宋体" w:hAnsi="宋体" w:eastAsia="宋体"/>
          <w:sz w:val="24"/>
          <w:szCs w:val="24"/>
        </w:rPr>
      </w:pPr>
      <w:r>
        <w:rPr>
          <w:rFonts w:hint="eastAsia" w:ascii="宋体" w:hAnsi="宋体" w:eastAsia="宋体"/>
          <w:sz w:val="24"/>
          <w:szCs w:val="24"/>
        </w:rPr>
        <w:t>依照《中华人民共和国政府采购法》、《中华人民共和国合同法》及其他有关法律、行政法规，遵循平等、自愿、公平和诚实信用的原则，双方就本项目工程制作事项协商一致，订立本合同。</w:t>
      </w:r>
    </w:p>
    <w:p>
      <w:pPr>
        <w:spacing w:line="440" w:lineRule="exact"/>
        <w:ind w:left="359" w:leftChars="171" w:firstLine="482" w:firstLineChars="200"/>
        <w:rPr>
          <w:rFonts w:ascii="宋体" w:hAnsi="宋体"/>
          <w:b/>
          <w:bCs/>
          <w:sz w:val="24"/>
        </w:rPr>
      </w:pPr>
      <w:r>
        <w:rPr>
          <w:rFonts w:hint="eastAsia" w:ascii="宋体" w:hAnsi="宋体"/>
          <w:b/>
          <w:bCs/>
          <w:sz w:val="24"/>
        </w:rPr>
        <w:t>1、项目概况</w:t>
      </w:r>
    </w:p>
    <w:p>
      <w:pPr>
        <w:spacing w:line="440" w:lineRule="exact"/>
        <w:ind w:left="359" w:leftChars="171" w:firstLine="480" w:firstLineChars="200"/>
        <w:rPr>
          <w:rFonts w:ascii="宋体" w:hAnsi="宋体"/>
          <w:color w:val="C00000"/>
          <w:sz w:val="24"/>
        </w:rPr>
      </w:pPr>
      <w:r>
        <w:rPr>
          <w:rFonts w:hint="eastAsia" w:ascii="宋体" w:hAnsi="宋体"/>
          <w:color w:val="000000" w:themeColor="text1"/>
          <w:sz w:val="24"/>
          <w14:textFill>
            <w14:solidFill>
              <w14:schemeClr w14:val="tx1"/>
            </w14:solidFill>
          </w14:textFill>
        </w:rPr>
        <w:t>项目名称：</w:t>
      </w:r>
      <w:r>
        <w:rPr>
          <w:rFonts w:hint="eastAsia"/>
          <w:color w:val="000000" w:themeColor="text1"/>
          <w14:textFill>
            <w14:solidFill>
              <w14:schemeClr w14:val="tx1"/>
            </w14:solidFill>
          </w14:textFill>
        </w:rPr>
        <w:t>恩施大峡谷旅游开发有限公司</w:t>
      </w:r>
      <w:r>
        <w:rPr>
          <w:rFonts w:hint="eastAsia"/>
          <w:color w:val="000000" w:themeColor="text1"/>
          <w:lang w:val="en-US" w:eastAsia="zh-CN"/>
          <w14:textFill>
            <w14:solidFill>
              <w14:schemeClr w14:val="tx1"/>
            </w14:solidFill>
          </w14:textFill>
        </w:rPr>
        <w:t>2019年度《龙船调》实景演出剧场灯光等设备维护</w:t>
      </w:r>
      <w:r>
        <w:rPr>
          <w:rFonts w:hint="eastAsia"/>
          <w:color w:val="000000" w:themeColor="text1"/>
          <w14:textFill>
            <w14:solidFill>
              <w14:schemeClr w14:val="tx1"/>
            </w14:solidFill>
          </w14:textFill>
        </w:rPr>
        <w:t>定点采购项目</w:t>
      </w:r>
      <w:r>
        <w:rPr>
          <w:rFonts w:hint="eastAsia"/>
          <w:color w:val="000000" w:themeColor="text1"/>
          <w:sz w:val="24"/>
          <w14:textFill>
            <w14:solidFill>
              <w14:schemeClr w14:val="tx1"/>
            </w14:solidFill>
          </w14:textFill>
        </w:rPr>
        <w:t xml:space="preserve"> </w:t>
      </w:r>
      <w:r>
        <w:rPr>
          <w:rFonts w:hint="eastAsia"/>
          <w:color w:val="000000" w:themeColor="text1"/>
          <w14:textFill>
            <w14:solidFill>
              <w14:schemeClr w14:val="tx1"/>
            </w14:solidFill>
          </w14:textFill>
        </w:rPr>
        <w:t xml:space="preserve"> </w:t>
      </w:r>
      <w:r>
        <w:rPr>
          <w:rFonts w:hint="eastAsia"/>
          <w:color w:val="C00000"/>
        </w:rPr>
        <w:t xml:space="preserve">                         </w:t>
      </w:r>
    </w:p>
    <w:p>
      <w:pPr>
        <w:spacing w:line="440" w:lineRule="exact"/>
        <w:ind w:left="359" w:leftChars="171" w:firstLine="480" w:firstLineChars="200"/>
        <w:rPr>
          <w:rFonts w:ascii="宋体" w:hAnsi="宋体"/>
          <w:sz w:val="24"/>
        </w:rPr>
      </w:pPr>
      <w:r>
        <w:rPr>
          <w:rFonts w:hint="eastAsia" w:ascii="宋体" w:hAnsi="宋体"/>
          <w:sz w:val="24"/>
        </w:rPr>
        <w:t xml:space="preserve">项目地点： </w:t>
      </w:r>
    </w:p>
    <w:p>
      <w:pPr>
        <w:spacing w:line="440" w:lineRule="exact"/>
        <w:ind w:left="359" w:leftChars="171" w:firstLine="480" w:firstLineChars="200"/>
        <w:rPr>
          <w:rFonts w:ascii="宋体" w:hAnsi="宋体"/>
          <w:sz w:val="24"/>
        </w:rPr>
      </w:pPr>
      <w:r>
        <w:rPr>
          <w:rFonts w:hint="eastAsia" w:ascii="宋体" w:hAnsi="宋体"/>
          <w:sz w:val="24"/>
        </w:rPr>
        <w:t>项目内容：</w:t>
      </w:r>
    </w:p>
    <w:p>
      <w:pPr>
        <w:spacing w:line="440" w:lineRule="exact"/>
        <w:ind w:left="359" w:leftChars="171" w:firstLine="480" w:firstLineChars="200"/>
        <w:rPr>
          <w:rFonts w:ascii="宋体" w:hAnsi="宋体"/>
          <w:sz w:val="24"/>
        </w:rPr>
      </w:pPr>
      <w:r>
        <w:rPr>
          <w:rFonts w:hint="eastAsia" w:ascii="宋体" w:hAnsi="宋体"/>
          <w:sz w:val="24"/>
        </w:rPr>
        <w:t>项目编号：</w:t>
      </w:r>
    </w:p>
    <w:p>
      <w:pPr>
        <w:spacing w:line="440" w:lineRule="exact"/>
        <w:ind w:left="359" w:leftChars="171" w:firstLine="482" w:firstLineChars="200"/>
        <w:rPr>
          <w:rFonts w:ascii="宋体" w:hAnsi="宋体"/>
          <w:b/>
          <w:bCs/>
          <w:sz w:val="24"/>
        </w:rPr>
      </w:pPr>
      <w:r>
        <w:rPr>
          <w:rFonts w:hint="eastAsia" w:ascii="宋体" w:hAnsi="宋体"/>
          <w:b/>
          <w:bCs/>
          <w:sz w:val="24"/>
        </w:rPr>
        <w:t>2、工程承包范围</w:t>
      </w:r>
    </w:p>
    <w:p>
      <w:pPr>
        <w:spacing w:line="440" w:lineRule="exact"/>
        <w:ind w:left="359" w:leftChars="171" w:firstLine="480" w:firstLineChars="200"/>
        <w:rPr>
          <w:rFonts w:ascii="宋体" w:hAnsi="宋体"/>
          <w:sz w:val="24"/>
        </w:rPr>
      </w:pPr>
      <w:r>
        <w:rPr>
          <w:rFonts w:hint="eastAsia" w:ascii="宋体" w:hAnsi="宋体"/>
          <w:sz w:val="24"/>
        </w:rPr>
        <w:t>承包范围：</w:t>
      </w:r>
    </w:p>
    <w:p>
      <w:pPr>
        <w:spacing w:line="440" w:lineRule="exact"/>
        <w:ind w:left="359" w:leftChars="171" w:firstLine="482" w:firstLineChars="200"/>
        <w:rPr>
          <w:rFonts w:ascii="宋体" w:hAnsi="宋体"/>
          <w:sz w:val="24"/>
        </w:rPr>
      </w:pPr>
      <w:r>
        <w:rPr>
          <w:rFonts w:hint="eastAsia" w:ascii="宋体" w:hAnsi="宋体"/>
          <w:b/>
          <w:bCs/>
          <w:sz w:val="24"/>
        </w:rPr>
        <w:t>3、合同有效时间：</w:t>
      </w:r>
      <w:r>
        <w:rPr>
          <w:rFonts w:hint="eastAsia" w:ascii="宋体" w:hAnsi="宋体"/>
          <w:szCs w:val="21"/>
        </w:rPr>
        <w:t>提交成果时间</w:t>
      </w:r>
      <w:r>
        <w:rPr>
          <w:rFonts w:hint="eastAsia" w:ascii="宋体" w:hAnsi="宋体"/>
          <w:sz w:val="24"/>
        </w:rPr>
        <w:t>：</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pacing w:line="440" w:lineRule="exact"/>
        <w:ind w:left="359" w:leftChars="171" w:firstLine="480" w:firstLineChars="200"/>
        <w:rPr>
          <w:rFonts w:ascii="宋体" w:hAnsi="宋体"/>
          <w:sz w:val="24"/>
        </w:rPr>
      </w:pPr>
      <w:r>
        <w:rPr>
          <w:rFonts w:hint="eastAsia" w:ascii="宋体" w:hAnsi="宋体"/>
          <w:sz w:val="24"/>
        </w:rPr>
        <w:t>合同工期总日历天数</w:t>
      </w:r>
      <w:r>
        <w:rPr>
          <w:rFonts w:hint="eastAsia" w:ascii="宋体" w:hAnsi="宋体"/>
          <w:sz w:val="24"/>
          <w:u w:val="single"/>
        </w:rPr>
        <w:t xml:space="preserve">      </w:t>
      </w:r>
      <w:r>
        <w:rPr>
          <w:rFonts w:hint="eastAsia" w:ascii="宋体" w:hAnsi="宋体"/>
          <w:sz w:val="24"/>
        </w:rPr>
        <w:t>天。</w:t>
      </w:r>
    </w:p>
    <w:p>
      <w:pPr>
        <w:spacing w:line="440" w:lineRule="exact"/>
        <w:ind w:left="359" w:leftChars="171" w:firstLine="482" w:firstLineChars="200"/>
        <w:rPr>
          <w:rFonts w:ascii="宋体" w:hAnsi="宋体"/>
          <w:b/>
          <w:bCs/>
          <w:sz w:val="24"/>
        </w:rPr>
      </w:pPr>
      <w:r>
        <w:rPr>
          <w:rFonts w:hint="eastAsia" w:ascii="宋体" w:hAnsi="宋体"/>
          <w:b/>
          <w:bCs/>
          <w:sz w:val="24"/>
        </w:rPr>
        <w:t>4、质量标准</w:t>
      </w:r>
    </w:p>
    <w:p>
      <w:pPr>
        <w:spacing w:line="440" w:lineRule="exact"/>
        <w:ind w:left="359" w:leftChars="171" w:firstLine="480" w:firstLineChars="200"/>
        <w:rPr>
          <w:rFonts w:ascii="宋体" w:hAnsi="宋体"/>
          <w:sz w:val="24"/>
        </w:rPr>
      </w:pPr>
      <w:r>
        <w:rPr>
          <w:rFonts w:hint="eastAsia" w:ascii="宋体" w:hAnsi="宋体"/>
          <w:sz w:val="24"/>
        </w:rPr>
        <w:t>工程质量标准：</w:t>
      </w:r>
    </w:p>
    <w:p>
      <w:pPr>
        <w:spacing w:line="440" w:lineRule="exact"/>
        <w:ind w:left="359" w:leftChars="171" w:firstLine="482" w:firstLineChars="200"/>
        <w:rPr>
          <w:rFonts w:ascii="宋体" w:hAnsi="宋体"/>
          <w:b/>
          <w:bCs/>
          <w:sz w:val="24"/>
        </w:rPr>
      </w:pPr>
      <w:r>
        <w:rPr>
          <w:rFonts w:hint="eastAsia" w:ascii="宋体" w:hAnsi="宋体"/>
          <w:b/>
          <w:bCs/>
          <w:sz w:val="24"/>
        </w:rPr>
        <w:t>5、组成合同的文件</w:t>
      </w:r>
    </w:p>
    <w:p>
      <w:pPr>
        <w:spacing w:line="440" w:lineRule="exact"/>
        <w:ind w:left="359" w:leftChars="171" w:firstLine="480" w:firstLineChars="200"/>
        <w:rPr>
          <w:rFonts w:ascii="宋体" w:hAnsi="宋体"/>
          <w:sz w:val="24"/>
        </w:rPr>
      </w:pPr>
      <w:r>
        <w:rPr>
          <w:rFonts w:hint="eastAsia" w:ascii="宋体" w:hAnsi="宋体"/>
          <w:sz w:val="24"/>
        </w:rPr>
        <w:t>组成本合同的文件包括：</w:t>
      </w:r>
    </w:p>
    <w:p>
      <w:pPr>
        <w:spacing w:line="440" w:lineRule="exact"/>
        <w:ind w:left="359" w:leftChars="171" w:firstLine="480" w:firstLineChars="200"/>
        <w:rPr>
          <w:rFonts w:ascii="宋体" w:hAnsi="宋体"/>
          <w:sz w:val="24"/>
        </w:rPr>
      </w:pPr>
      <w:r>
        <w:rPr>
          <w:rFonts w:hint="eastAsia" w:ascii="宋体" w:hAnsi="宋体"/>
          <w:sz w:val="24"/>
        </w:rPr>
        <w:t>（1）本项目谈判文件</w:t>
      </w:r>
    </w:p>
    <w:p>
      <w:pPr>
        <w:spacing w:line="440" w:lineRule="exact"/>
        <w:ind w:left="359" w:leftChars="171" w:firstLine="480" w:firstLineChars="200"/>
        <w:rPr>
          <w:rFonts w:ascii="宋体" w:hAnsi="宋体"/>
          <w:sz w:val="24"/>
        </w:rPr>
      </w:pPr>
      <w:r>
        <w:rPr>
          <w:rFonts w:hint="eastAsia" w:ascii="宋体" w:hAnsi="宋体"/>
          <w:sz w:val="24"/>
        </w:rPr>
        <w:t>（2）成交通知书</w:t>
      </w:r>
    </w:p>
    <w:p>
      <w:pPr>
        <w:spacing w:line="440" w:lineRule="exact"/>
        <w:ind w:left="359" w:leftChars="171" w:firstLine="480" w:firstLineChars="200"/>
        <w:rPr>
          <w:rFonts w:ascii="宋体" w:hAnsi="宋体"/>
          <w:sz w:val="24"/>
        </w:rPr>
      </w:pPr>
      <w:r>
        <w:rPr>
          <w:rFonts w:hint="eastAsia" w:ascii="宋体" w:hAnsi="宋体"/>
          <w:sz w:val="24"/>
        </w:rPr>
        <w:t>（3）谈判响应文件及其附件</w:t>
      </w:r>
    </w:p>
    <w:p>
      <w:pPr>
        <w:spacing w:line="440" w:lineRule="exact"/>
        <w:ind w:left="359" w:leftChars="171" w:firstLine="480" w:firstLineChars="200"/>
        <w:rPr>
          <w:rFonts w:ascii="宋体" w:hAnsi="宋体"/>
          <w:sz w:val="24"/>
        </w:rPr>
      </w:pPr>
      <w:r>
        <w:rPr>
          <w:rFonts w:hint="eastAsia" w:ascii="宋体" w:hAnsi="宋体"/>
          <w:sz w:val="24"/>
        </w:rPr>
        <w:t>（4）本合同专用条款</w:t>
      </w:r>
    </w:p>
    <w:p>
      <w:pPr>
        <w:spacing w:line="440" w:lineRule="exact"/>
        <w:ind w:left="359" w:leftChars="171" w:firstLine="480" w:firstLineChars="200"/>
        <w:rPr>
          <w:rFonts w:ascii="宋体" w:hAnsi="宋体"/>
          <w:sz w:val="24"/>
        </w:rPr>
      </w:pPr>
      <w:r>
        <w:rPr>
          <w:rFonts w:hint="eastAsia" w:ascii="宋体" w:hAnsi="宋体"/>
          <w:sz w:val="24"/>
        </w:rPr>
        <w:t>（5）本合同通用条款</w:t>
      </w:r>
    </w:p>
    <w:p>
      <w:pPr>
        <w:spacing w:line="440" w:lineRule="exact"/>
        <w:ind w:left="359" w:leftChars="171" w:firstLine="480" w:firstLineChars="200"/>
        <w:rPr>
          <w:rFonts w:ascii="宋体" w:hAnsi="宋体"/>
          <w:sz w:val="24"/>
        </w:rPr>
      </w:pPr>
      <w:r>
        <w:rPr>
          <w:rFonts w:hint="eastAsia" w:ascii="宋体" w:hAnsi="宋体"/>
          <w:sz w:val="24"/>
        </w:rPr>
        <w:t>（6）标准、规范及有关技术文件</w:t>
      </w:r>
    </w:p>
    <w:p>
      <w:pPr>
        <w:spacing w:line="440" w:lineRule="exact"/>
        <w:ind w:left="359" w:leftChars="171" w:firstLine="480" w:firstLineChars="200"/>
        <w:rPr>
          <w:rFonts w:ascii="宋体" w:hAnsi="宋体"/>
          <w:sz w:val="24"/>
        </w:rPr>
      </w:pPr>
      <w:r>
        <w:rPr>
          <w:rFonts w:hint="eastAsia" w:ascii="宋体" w:hAnsi="宋体"/>
          <w:sz w:val="24"/>
        </w:rPr>
        <w:t>（7）工程量清单</w:t>
      </w:r>
    </w:p>
    <w:p>
      <w:pPr>
        <w:spacing w:line="440" w:lineRule="exact"/>
        <w:ind w:left="359" w:leftChars="171" w:firstLine="480" w:firstLineChars="200"/>
        <w:rPr>
          <w:rFonts w:ascii="宋体" w:hAnsi="宋体"/>
          <w:sz w:val="24"/>
        </w:rPr>
      </w:pPr>
      <w:r>
        <w:rPr>
          <w:rFonts w:hint="eastAsia" w:ascii="宋体" w:hAnsi="宋体"/>
          <w:sz w:val="24"/>
        </w:rPr>
        <w:t>（8）工程报价单或预算书</w:t>
      </w:r>
    </w:p>
    <w:p>
      <w:pPr>
        <w:spacing w:line="440" w:lineRule="exact"/>
        <w:ind w:left="899" w:leftChars="428"/>
        <w:rPr>
          <w:rFonts w:ascii="宋体" w:hAnsi="宋体"/>
          <w:sz w:val="24"/>
        </w:rPr>
      </w:pPr>
      <w:r>
        <w:rPr>
          <w:rFonts w:hint="eastAsia" w:ascii="宋体" w:hAnsi="宋体"/>
          <w:sz w:val="24"/>
        </w:rPr>
        <w:t>双方有关工程的洽商、变更等书面协议或文件视为本合同的组成部分。</w:t>
      </w:r>
    </w:p>
    <w:p>
      <w:pPr>
        <w:spacing w:line="440" w:lineRule="exact"/>
        <w:ind w:left="899" w:leftChars="428"/>
        <w:rPr>
          <w:rFonts w:ascii="宋体" w:hAnsi="宋体"/>
          <w:sz w:val="24"/>
        </w:rPr>
      </w:pPr>
      <w:r>
        <w:rPr>
          <w:rFonts w:hint="eastAsia" w:ascii="宋体" w:hAnsi="宋体"/>
          <w:sz w:val="24"/>
        </w:rPr>
        <w:t>6、本协议书中有关词语含义与本合同《通用条款》中的定义相同。</w:t>
      </w:r>
    </w:p>
    <w:p>
      <w:pPr>
        <w:spacing w:line="440" w:lineRule="exact"/>
        <w:ind w:left="899" w:leftChars="428"/>
        <w:rPr>
          <w:rFonts w:ascii="宋体" w:hAnsi="宋体"/>
          <w:sz w:val="24"/>
        </w:rPr>
      </w:pPr>
      <w:r>
        <w:rPr>
          <w:rFonts w:hint="eastAsia" w:ascii="宋体" w:hAnsi="宋体"/>
          <w:sz w:val="24"/>
        </w:rPr>
        <w:t>7、乙方向甲方承诺按照合同约定制作，并在质量保修期内承担工程质量保修责任。</w:t>
      </w:r>
    </w:p>
    <w:p>
      <w:pPr>
        <w:spacing w:line="440" w:lineRule="exact"/>
        <w:ind w:left="899" w:leftChars="428"/>
        <w:rPr>
          <w:rFonts w:ascii="宋体" w:hAnsi="宋体"/>
          <w:sz w:val="24"/>
        </w:rPr>
      </w:pPr>
      <w:r>
        <w:rPr>
          <w:rFonts w:hint="eastAsia" w:ascii="宋体" w:hAnsi="宋体"/>
          <w:sz w:val="24"/>
        </w:rPr>
        <w:t>8、甲方向乙方承诺按照合同约定的期限和方式支付合同价款及其他应当支付的款项。</w:t>
      </w:r>
    </w:p>
    <w:p>
      <w:pPr>
        <w:spacing w:line="440" w:lineRule="exact"/>
        <w:ind w:left="899" w:leftChars="428"/>
        <w:rPr>
          <w:rFonts w:ascii="宋体" w:hAnsi="宋体"/>
          <w:sz w:val="24"/>
        </w:rPr>
      </w:pPr>
      <w:r>
        <w:rPr>
          <w:rFonts w:hint="eastAsia" w:ascii="宋体" w:hAnsi="宋体"/>
          <w:sz w:val="24"/>
        </w:rPr>
        <w:t>9、合同生效</w:t>
      </w:r>
    </w:p>
    <w:p>
      <w:pPr>
        <w:spacing w:line="440" w:lineRule="exact"/>
        <w:ind w:left="899" w:leftChars="428"/>
        <w:rPr>
          <w:rFonts w:ascii="宋体" w:hAnsi="宋体"/>
          <w:sz w:val="24"/>
        </w:rPr>
      </w:pPr>
      <w:r>
        <w:rPr>
          <w:rFonts w:hint="eastAsia" w:ascii="宋体" w:hAnsi="宋体"/>
          <w:sz w:val="24"/>
        </w:rPr>
        <w:t>合同订立时间：</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pacing w:line="440" w:lineRule="exact"/>
        <w:ind w:left="899" w:leftChars="428"/>
        <w:rPr>
          <w:rFonts w:ascii="宋体" w:hAnsi="宋体"/>
          <w:sz w:val="24"/>
          <w:u w:val="single"/>
        </w:rPr>
      </w:pPr>
      <w:r>
        <w:rPr>
          <w:rFonts w:hint="eastAsia" w:ascii="宋体" w:hAnsi="宋体"/>
          <w:sz w:val="24"/>
        </w:rPr>
        <w:t>合同订立地点：</w:t>
      </w:r>
      <w:r>
        <w:rPr>
          <w:rFonts w:hint="eastAsia" w:ascii="宋体" w:hAnsi="宋体"/>
          <w:sz w:val="24"/>
          <w:u w:val="single"/>
        </w:rPr>
        <w:t xml:space="preserve">                              </w:t>
      </w:r>
    </w:p>
    <w:p>
      <w:pPr>
        <w:spacing w:line="440" w:lineRule="exact"/>
        <w:ind w:left="899" w:leftChars="428"/>
        <w:rPr>
          <w:rFonts w:ascii="宋体" w:hAnsi="宋体"/>
          <w:sz w:val="24"/>
        </w:rPr>
      </w:pPr>
      <w:r>
        <w:rPr>
          <w:rFonts w:hint="eastAsia" w:ascii="宋体" w:hAnsi="宋体"/>
          <w:sz w:val="24"/>
        </w:rPr>
        <w:t>本合同双方约定</w:t>
      </w:r>
      <w:r>
        <w:rPr>
          <w:rFonts w:hint="eastAsia" w:ascii="宋体" w:hAnsi="宋体"/>
          <w:sz w:val="24"/>
          <w:u w:val="single"/>
        </w:rPr>
        <w:t xml:space="preserve">                              </w:t>
      </w:r>
      <w:r>
        <w:rPr>
          <w:rFonts w:hint="eastAsia" w:ascii="宋体" w:hAnsi="宋体"/>
          <w:sz w:val="24"/>
        </w:rPr>
        <w:t>后生效。</w:t>
      </w:r>
    </w:p>
    <w:p>
      <w:pPr>
        <w:spacing w:line="440" w:lineRule="exact"/>
        <w:ind w:left="899" w:leftChars="428"/>
        <w:rPr>
          <w:rFonts w:ascii="宋体" w:hAnsi="宋体"/>
          <w:sz w:val="24"/>
        </w:rPr>
      </w:pPr>
    </w:p>
    <w:p>
      <w:pPr>
        <w:spacing w:line="440" w:lineRule="exact"/>
        <w:ind w:left="899" w:leftChars="428"/>
        <w:rPr>
          <w:rFonts w:ascii="宋体" w:hAnsi="宋体"/>
          <w:sz w:val="24"/>
        </w:rPr>
      </w:pPr>
    </w:p>
    <w:p>
      <w:pPr>
        <w:spacing w:line="440" w:lineRule="exact"/>
        <w:ind w:left="899" w:leftChars="428"/>
        <w:rPr>
          <w:rFonts w:ascii="宋体" w:hAnsi="宋体"/>
          <w:sz w:val="24"/>
        </w:rPr>
      </w:pPr>
      <w:r>
        <w:rPr>
          <w:rFonts w:hint="eastAsia" w:ascii="宋体" w:hAnsi="宋体"/>
          <w:sz w:val="24"/>
        </w:rPr>
        <w:t>甲方：（公章）                      乙方：（公章）</w:t>
      </w:r>
    </w:p>
    <w:p>
      <w:pPr>
        <w:spacing w:line="440" w:lineRule="exact"/>
        <w:ind w:left="899" w:leftChars="428"/>
        <w:rPr>
          <w:rFonts w:ascii="宋体" w:hAnsi="宋体"/>
          <w:sz w:val="24"/>
        </w:rPr>
      </w:pPr>
      <w:r>
        <w:rPr>
          <w:rFonts w:hint="eastAsia" w:ascii="宋体" w:hAnsi="宋体"/>
          <w:sz w:val="24"/>
        </w:rPr>
        <w:t>地          址：                   地          址：</w:t>
      </w:r>
    </w:p>
    <w:p>
      <w:pPr>
        <w:spacing w:line="440" w:lineRule="exact"/>
        <w:ind w:left="899" w:leftChars="428"/>
        <w:rPr>
          <w:rFonts w:ascii="宋体" w:hAnsi="宋体"/>
          <w:sz w:val="24"/>
        </w:rPr>
      </w:pPr>
      <w:r>
        <w:rPr>
          <w:rFonts w:hint="eastAsia" w:ascii="宋体" w:hAnsi="宋体"/>
          <w:sz w:val="24"/>
        </w:rPr>
        <w:t>法定代表人：（签字）                法定代表人：（签字）</w:t>
      </w:r>
    </w:p>
    <w:p>
      <w:pPr>
        <w:spacing w:line="440" w:lineRule="exact"/>
        <w:ind w:left="899" w:leftChars="428"/>
        <w:rPr>
          <w:rFonts w:ascii="宋体" w:hAnsi="宋体"/>
          <w:sz w:val="24"/>
        </w:rPr>
      </w:pPr>
      <w:r>
        <w:rPr>
          <w:rFonts w:hint="eastAsia" w:ascii="宋体" w:hAnsi="宋体"/>
          <w:sz w:val="24"/>
        </w:rPr>
        <w:t>委托代理人：（签字）                委托代理人：（签字）</w:t>
      </w:r>
    </w:p>
    <w:p>
      <w:pPr>
        <w:spacing w:line="440" w:lineRule="exact"/>
        <w:ind w:left="899" w:leftChars="428"/>
        <w:rPr>
          <w:rFonts w:ascii="宋体" w:hAnsi="宋体"/>
          <w:sz w:val="24"/>
        </w:rPr>
      </w:pPr>
      <w:r>
        <w:rPr>
          <w:rFonts w:hint="eastAsia" w:ascii="宋体" w:hAnsi="宋体"/>
          <w:sz w:val="24"/>
        </w:rPr>
        <w:t>电      话：                       电      话：</w:t>
      </w:r>
    </w:p>
    <w:p>
      <w:pPr>
        <w:spacing w:line="440" w:lineRule="exact"/>
        <w:ind w:left="899" w:leftChars="428"/>
        <w:rPr>
          <w:rFonts w:ascii="宋体" w:hAnsi="宋体"/>
          <w:sz w:val="24"/>
        </w:rPr>
      </w:pPr>
      <w:r>
        <w:rPr>
          <w:rFonts w:hint="eastAsia" w:ascii="宋体" w:hAnsi="宋体"/>
          <w:sz w:val="24"/>
        </w:rPr>
        <w:t>传      真：                       传      真：</w:t>
      </w:r>
    </w:p>
    <w:p>
      <w:pPr>
        <w:spacing w:line="440" w:lineRule="exact"/>
        <w:ind w:left="899" w:leftChars="428"/>
        <w:rPr>
          <w:rFonts w:ascii="宋体" w:hAnsi="宋体"/>
          <w:sz w:val="24"/>
        </w:rPr>
      </w:pPr>
      <w:r>
        <w:rPr>
          <w:rFonts w:hint="eastAsia" w:ascii="宋体" w:hAnsi="宋体"/>
          <w:sz w:val="24"/>
        </w:rPr>
        <w:t>开户银行：                         开户银行：</w:t>
      </w:r>
    </w:p>
    <w:p>
      <w:pPr>
        <w:spacing w:line="440" w:lineRule="exact"/>
        <w:ind w:left="899" w:leftChars="428"/>
        <w:rPr>
          <w:rFonts w:ascii="宋体" w:hAnsi="宋体"/>
          <w:sz w:val="24"/>
        </w:rPr>
      </w:pPr>
      <w:r>
        <w:rPr>
          <w:rFonts w:hint="eastAsia" w:ascii="宋体" w:hAnsi="宋体"/>
          <w:sz w:val="24"/>
        </w:rPr>
        <w:t>帐      号：                       帐      号：</w:t>
      </w:r>
    </w:p>
    <w:p>
      <w:pPr>
        <w:spacing w:line="440" w:lineRule="exact"/>
        <w:ind w:left="899" w:leftChars="428"/>
        <w:rPr>
          <w:rFonts w:ascii="宋体" w:hAnsi="宋体"/>
          <w:sz w:val="24"/>
        </w:rPr>
      </w:pPr>
      <w:r>
        <w:rPr>
          <w:rFonts w:hint="eastAsia" w:ascii="宋体" w:hAnsi="宋体"/>
          <w:sz w:val="24"/>
        </w:rPr>
        <w:t>邮政编码：                         邮政编码：</w:t>
      </w: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rPr>
          <w:rFonts w:ascii="宋体" w:hAnsi="宋体"/>
          <w:b/>
          <w:sz w:val="24"/>
        </w:rPr>
      </w:pPr>
    </w:p>
    <w:p>
      <w:pPr>
        <w:rPr>
          <w:rFonts w:ascii="宋体" w:hAnsi="宋体"/>
          <w:b/>
          <w:sz w:val="24"/>
        </w:rPr>
      </w:pPr>
      <w:r>
        <w:rPr>
          <w:rFonts w:ascii="宋体" w:hAnsi="宋体"/>
          <w:b/>
          <w:sz w:val="24"/>
        </w:rPr>
        <w:br w:type="page"/>
      </w:r>
      <w:r>
        <w:rPr>
          <w:rFonts w:hint="eastAsia" w:ascii="宋体" w:hAnsi="宋体"/>
          <w:b/>
          <w:sz w:val="24"/>
        </w:rPr>
        <w:t>附件三：投标报价表</w:t>
      </w:r>
    </w:p>
    <w:p>
      <w:pPr>
        <w:jc w:val="center"/>
        <w:rPr>
          <w:rFonts w:ascii="宋体" w:hAnsi="宋体"/>
          <w:sz w:val="24"/>
        </w:rPr>
      </w:pPr>
    </w:p>
    <w:p>
      <w:pPr>
        <w:jc w:val="center"/>
        <w:rPr>
          <w:rFonts w:ascii="宋体" w:hAnsi="宋体"/>
          <w:sz w:val="24"/>
        </w:rPr>
      </w:pPr>
      <w:r>
        <w:rPr>
          <w:rFonts w:hint="eastAsia" w:ascii="宋体" w:hAnsi="宋体"/>
          <w:sz w:val="24"/>
        </w:rPr>
        <w:t>一、谈判报价说明</w:t>
      </w:r>
    </w:p>
    <w:p>
      <w:pPr>
        <w:rPr>
          <w:rFonts w:ascii="宋体" w:hAnsi="宋体"/>
          <w:sz w:val="24"/>
        </w:rPr>
      </w:pPr>
    </w:p>
    <w:p>
      <w:pPr>
        <w:tabs>
          <w:tab w:val="left" w:pos="2580"/>
        </w:tabs>
        <w:spacing w:line="360" w:lineRule="auto"/>
        <w:ind w:left="500" w:leftChars="238" w:firstLine="38" w:firstLineChars="16"/>
        <w:rPr>
          <w:rFonts w:ascii="宋体" w:hAnsi="宋体"/>
          <w:sz w:val="24"/>
        </w:rPr>
      </w:pPr>
      <w:r>
        <w:rPr>
          <w:rFonts w:hint="eastAsia" w:ascii="宋体" w:hAnsi="宋体"/>
          <w:sz w:val="24"/>
        </w:rPr>
        <w:t>1、本报价参考了本工程谈判须知和合同文件的有关条款进行编制。</w:t>
      </w:r>
    </w:p>
    <w:p>
      <w:pPr>
        <w:spacing w:line="360" w:lineRule="auto"/>
        <w:ind w:left="900" w:leftChars="257" w:hanging="360" w:hangingChars="150"/>
        <w:rPr>
          <w:rFonts w:ascii="宋体" w:hAnsi="宋体"/>
          <w:sz w:val="24"/>
        </w:rPr>
      </w:pPr>
      <w:r>
        <w:rPr>
          <w:rFonts w:hint="eastAsia" w:ascii="宋体" w:hAnsi="宋体"/>
          <w:sz w:val="24"/>
        </w:rPr>
        <w:t>2、本工程采用综合报价法，投标总价包括制作、税费、运费等所有费用。</w:t>
      </w:r>
    </w:p>
    <w:p>
      <w:pPr>
        <w:tabs>
          <w:tab w:val="left" w:pos="2580"/>
        </w:tabs>
        <w:spacing w:line="360" w:lineRule="auto"/>
        <w:ind w:left="540" w:leftChars="257"/>
        <w:rPr>
          <w:rFonts w:ascii="宋体" w:hAnsi="宋体"/>
          <w:sz w:val="24"/>
        </w:rPr>
      </w:pPr>
      <w:r>
        <w:rPr>
          <w:rFonts w:hint="eastAsia" w:ascii="宋体" w:hAnsi="宋体"/>
          <w:sz w:val="24"/>
        </w:rPr>
        <w:t>3、本报价中没有填写的项目的费用，视为已包括在其他项目之中。</w:t>
      </w:r>
    </w:p>
    <w:p>
      <w:pPr>
        <w:tabs>
          <w:tab w:val="left" w:pos="2580"/>
        </w:tabs>
        <w:spacing w:line="360" w:lineRule="auto"/>
        <w:ind w:left="540" w:leftChars="257"/>
        <w:rPr>
          <w:rFonts w:ascii="宋体" w:hAnsi="宋体"/>
          <w:sz w:val="24"/>
        </w:rPr>
      </w:pPr>
      <w:r>
        <w:rPr>
          <w:rFonts w:hint="eastAsia" w:ascii="宋体" w:hAnsi="宋体"/>
          <w:sz w:val="24"/>
        </w:rPr>
        <w:t>4、本报价的币种为人民币。</w:t>
      </w:r>
    </w:p>
    <w:p>
      <w:pPr>
        <w:tabs>
          <w:tab w:val="left" w:pos="2580"/>
        </w:tabs>
        <w:spacing w:line="360" w:lineRule="auto"/>
        <w:ind w:left="540" w:leftChars="257"/>
        <w:rPr>
          <w:rFonts w:ascii="宋体" w:hAnsi="宋体"/>
          <w:sz w:val="24"/>
        </w:rPr>
      </w:pPr>
      <w:r>
        <w:rPr>
          <w:rFonts w:hint="eastAsia" w:ascii="宋体" w:hAnsi="宋体"/>
          <w:sz w:val="24"/>
        </w:rPr>
        <w:t>5、投标人应将谈判报价需要说明的事项，用文字书写与谈判报价表一并报送。</w:t>
      </w:r>
    </w:p>
    <w:p>
      <w:pPr>
        <w:tabs>
          <w:tab w:val="left" w:pos="2580"/>
        </w:tabs>
        <w:spacing w:line="360" w:lineRule="auto"/>
        <w:ind w:left="540" w:leftChars="257"/>
        <w:rPr>
          <w:rFonts w:ascii="宋体" w:hAnsi="宋体"/>
          <w:sz w:val="24"/>
        </w:rPr>
      </w:pPr>
    </w:p>
    <w:p>
      <w:pPr>
        <w:tabs>
          <w:tab w:val="left" w:pos="2580"/>
        </w:tabs>
        <w:spacing w:line="360" w:lineRule="auto"/>
        <w:rPr>
          <w:rFonts w:ascii="宋体" w:hAnsi="宋体"/>
          <w:sz w:val="24"/>
        </w:rPr>
      </w:pPr>
    </w:p>
    <w:p>
      <w:pPr>
        <w:tabs>
          <w:tab w:val="left" w:pos="2580"/>
        </w:tabs>
        <w:spacing w:line="360" w:lineRule="auto"/>
        <w:ind w:left="540" w:leftChars="257"/>
        <w:rPr>
          <w:rFonts w:ascii="宋体" w:hAnsi="宋体"/>
          <w:sz w:val="24"/>
        </w:rPr>
      </w:pPr>
    </w:p>
    <w:p>
      <w:pPr>
        <w:ind w:firstLine="540"/>
        <w:rPr>
          <w:rFonts w:ascii="仿宋_GB2312" w:hAnsi="宋体" w:eastAsia="仿宋_GB2312"/>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spacing w:line="400" w:lineRule="exact"/>
        <w:jc w:val="center"/>
        <w:rPr>
          <w:rFonts w:ascii="黑体" w:hAnsi="宋体" w:eastAsia="黑体"/>
          <w:sz w:val="32"/>
        </w:rPr>
      </w:pPr>
    </w:p>
    <w:p>
      <w:pPr>
        <w:spacing w:line="400" w:lineRule="exact"/>
        <w:jc w:val="center"/>
        <w:rPr>
          <w:rFonts w:ascii="黑体" w:hAnsi="宋体" w:eastAsia="黑体"/>
          <w:sz w:val="32"/>
        </w:rPr>
      </w:pPr>
    </w:p>
    <w:p>
      <w:pPr>
        <w:spacing w:line="400" w:lineRule="exact"/>
        <w:jc w:val="center"/>
        <w:rPr>
          <w:rFonts w:ascii="黑体" w:hAnsi="宋体" w:eastAsia="黑体"/>
          <w:sz w:val="32"/>
        </w:rPr>
      </w:pPr>
    </w:p>
    <w:p>
      <w:pPr>
        <w:spacing w:line="400" w:lineRule="exact"/>
        <w:jc w:val="center"/>
        <w:rPr>
          <w:rFonts w:ascii="黑体" w:hAnsi="宋体" w:eastAsia="黑体"/>
          <w:sz w:val="32"/>
        </w:rPr>
      </w:pPr>
    </w:p>
    <w:p>
      <w:pPr>
        <w:spacing w:line="400" w:lineRule="exact"/>
        <w:jc w:val="center"/>
        <w:rPr>
          <w:rFonts w:ascii="黑体" w:hAnsi="宋体" w:eastAsia="黑体"/>
          <w:sz w:val="32"/>
        </w:rPr>
      </w:pPr>
    </w:p>
    <w:p>
      <w:pPr>
        <w:spacing w:line="400" w:lineRule="exact"/>
        <w:jc w:val="center"/>
        <w:rPr>
          <w:rFonts w:ascii="黑体" w:hAnsi="宋体" w:eastAsia="黑体"/>
          <w:sz w:val="32"/>
        </w:rPr>
      </w:pPr>
    </w:p>
    <w:p>
      <w:pPr>
        <w:spacing w:line="400" w:lineRule="exact"/>
        <w:jc w:val="center"/>
        <w:rPr>
          <w:rFonts w:ascii="黑体" w:hAnsi="宋体" w:eastAsia="黑体"/>
          <w:sz w:val="32"/>
        </w:rPr>
      </w:pPr>
    </w:p>
    <w:p>
      <w:pPr>
        <w:ind w:firstLine="5542" w:firstLineChars="2300"/>
        <w:rPr>
          <w:rFonts w:ascii="宋体" w:hAnsi="宋体"/>
          <w:b/>
          <w:sz w:val="24"/>
        </w:rPr>
      </w:pPr>
    </w:p>
    <w:p>
      <w:pPr>
        <w:ind w:firstLine="5542" w:firstLineChars="2300"/>
        <w:rPr>
          <w:rFonts w:ascii="宋体" w:hAnsi="宋体"/>
          <w:b/>
          <w:sz w:val="24"/>
        </w:rPr>
      </w:pPr>
    </w:p>
    <w:p>
      <w:pPr>
        <w:ind w:firstLine="5542" w:firstLineChars="2300"/>
        <w:rPr>
          <w:rFonts w:ascii="宋体" w:hAnsi="宋体"/>
          <w:b/>
          <w:sz w:val="24"/>
        </w:rPr>
      </w:pPr>
    </w:p>
    <w:p>
      <w:pPr>
        <w:rPr>
          <w:rFonts w:ascii="宋体" w:hAnsi="宋体"/>
          <w:bCs/>
          <w:sz w:val="24"/>
        </w:rPr>
      </w:pPr>
    </w:p>
    <w:p>
      <w:pPr>
        <w:rPr>
          <w:rFonts w:hint="eastAsia" w:ascii="宋体" w:hAnsi="宋体"/>
          <w:b/>
          <w:szCs w:val="21"/>
        </w:rPr>
      </w:pPr>
      <w:r>
        <w:rPr>
          <w:rFonts w:hint="eastAsia" w:ascii="宋体" w:hAnsi="宋体"/>
          <w:b/>
          <w:szCs w:val="21"/>
        </w:rPr>
        <w:t>设备报价</w:t>
      </w:r>
      <w:r>
        <w:rPr>
          <w:rFonts w:hint="eastAsia" w:ascii="宋体" w:hAnsi="宋体"/>
          <w:b/>
          <w:szCs w:val="21"/>
          <w:lang w:eastAsia="zh-CN"/>
        </w:rPr>
        <w:t>清单</w:t>
      </w:r>
      <w:r>
        <w:rPr>
          <w:rFonts w:hint="eastAsia" w:ascii="宋体" w:hAnsi="宋体"/>
          <w:b/>
          <w:szCs w:val="21"/>
        </w:rPr>
        <w:t>：</w:t>
      </w:r>
    </w:p>
    <w:tbl>
      <w:tblPr>
        <w:tblStyle w:val="18"/>
        <w:tblW w:w="99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1"/>
        <w:gridCol w:w="2215"/>
        <w:gridCol w:w="1551"/>
        <w:gridCol w:w="1551"/>
        <w:gridCol w:w="1551"/>
        <w:gridCol w:w="15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551"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序号</w:t>
            </w:r>
          </w:p>
        </w:tc>
        <w:tc>
          <w:tcPr>
            <w:tcW w:w="2215"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配件名称</w:t>
            </w:r>
          </w:p>
        </w:tc>
        <w:tc>
          <w:tcPr>
            <w:tcW w:w="1551"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型号</w:t>
            </w:r>
          </w:p>
        </w:tc>
        <w:tc>
          <w:tcPr>
            <w:tcW w:w="1551"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单位</w:t>
            </w:r>
          </w:p>
        </w:tc>
        <w:tc>
          <w:tcPr>
            <w:tcW w:w="1551" w:type="dxa"/>
            <w:noWrap w:val="0"/>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xml:space="preserve"> (单价） 元 </w:t>
            </w:r>
          </w:p>
        </w:tc>
        <w:tc>
          <w:tcPr>
            <w:tcW w:w="1549"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9968" w:type="dxa"/>
            <w:gridSpan w:val="6"/>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灯光系统部分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551"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2215" w:type="dxa"/>
            <w:noWrap w:val="0"/>
            <w:vAlign w:val="bottom"/>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2K灯泡</w:t>
            </w:r>
          </w:p>
        </w:tc>
        <w:tc>
          <w:tcPr>
            <w:tcW w:w="1551"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XQ2000</w:t>
            </w:r>
          </w:p>
        </w:tc>
        <w:tc>
          <w:tcPr>
            <w:tcW w:w="1551"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个</w:t>
            </w:r>
          </w:p>
        </w:tc>
        <w:tc>
          <w:tcPr>
            <w:tcW w:w="1551" w:type="dxa"/>
            <w:noWrap w:val="0"/>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549"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551"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2215" w:type="dxa"/>
            <w:noWrap w:val="0"/>
            <w:vAlign w:val="bottom"/>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4006灯泡</w:t>
            </w:r>
          </w:p>
        </w:tc>
        <w:tc>
          <w:tcPr>
            <w:tcW w:w="1551"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XQ4000-A</w:t>
            </w:r>
          </w:p>
        </w:tc>
        <w:tc>
          <w:tcPr>
            <w:tcW w:w="1551"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个</w:t>
            </w:r>
          </w:p>
        </w:tc>
        <w:tc>
          <w:tcPr>
            <w:tcW w:w="1551" w:type="dxa"/>
            <w:noWrap w:val="0"/>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549"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551"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2215" w:type="dxa"/>
            <w:noWrap w:val="0"/>
            <w:vAlign w:val="bottom"/>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CM5201灯泡</w:t>
            </w:r>
          </w:p>
        </w:tc>
        <w:tc>
          <w:tcPr>
            <w:tcW w:w="1551"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XQ4000A</w:t>
            </w:r>
          </w:p>
        </w:tc>
        <w:tc>
          <w:tcPr>
            <w:tcW w:w="1551"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个</w:t>
            </w:r>
          </w:p>
        </w:tc>
        <w:tc>
          <w:tcPr>
            <w:tcW w:w="1551" w:type="dxa"/>
            <w:noWrap w:val="0"/>
            <w:vAlign w:val="bottom"/>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549"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551"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2215" w:type="dxa"/>
            <w:noWrap w:val="0"/>
            <w:vAlign w:val="bottom"/>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CM5102灯泡</w:t>
            </w:r>
          </w:p>
        </w:tc>
        <w:tc>
          <w:tcPr>
            <w:tcW w:w="1551"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XQ5000A</w:t>
            </w:r>
          </w:p>
        </w:tc>
        <w:tc>
          <w:tcPr>
            <w:tcW w:w="1551"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个</w:t>
            </w:r>
          </w:p>
        </w:tc>
        <w:tc>
          <w:tcPr>
            <w:tcW w:w="1551" w:type="dxa"/>
            <w:noWrap w:val="0"/>
            <w:vAlign w:val="bottom"/>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549"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551"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2215" w:type="dxa"/>
            <w:noWrap w:val="0"/>
            <w:vAlign w:val="bottom"/>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RJ4000灯泡</w:t>
            </w:r>
          </w:p>
        </w:tc>
        <w:tc>
          <w:tcPr>
            <w:tcW w:w="1551"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XQ4000A</w:t>
            </w:r>
          </w:p>
        </w:tc>
        <w:tc>
          <w:tcPr>
            <w:tcW w:w="1551"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个</w:t>
            </w:r>
          </w:p>
        </w:tc>
        <w:tc>
          <w:tcPr>
            <w:tcW w:w="1551" w:type="dxa"/>
            <w:noWrap w:val="0"/>
            <w:vAlign w:val="bottom"/>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549"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1551"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w:t>
            </w:r>
          </w:p>
        </w:tc>
        <w:tc>
          <w:tcPr>
            <w:tcW w:w="2215" w:type="dxa"/>
            <w:noWrap w:val="0"/>
            <w:vAlign w:val="bottom"/>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PERF1200灯泡</w:t>
            </w:r>
          </w:p>
        </w:tc>
        <w:tc>
          <w:tcPr>
            <w:tcW w:w="1551"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OSRAM HTI1200/D7/60</w:t>
            </w:r>
          </w:p>
        </w:tc>
        <w:tc>
          <w:tcPr>
            <w:tcW w:w="1551"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个</w:t>
            </w:r>
          </w:p>
        </w:tc>
        <w:tc>
          <w:tcPr>
            <w:tcW w:w="1551" w:type="dxa"/>
            <w:noWrap w:val="0"/>
            <w:vAlign w:val="bottom"/>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549"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551"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w:t>
            </w:r>
          </w:p>
        </w:tc>
        <w:tc>
          <w:tcPr>
            <w:tcW w:w="2215" w:type="dxa"/>
            <w:noWrap w:val="0"/>
            <w:vAlign w:val="bottom"/>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灯泡氧极软线</w:t>
            </w:r>
          </w:p>
        </w:tc>
        <w:tc>
          <w:tcPr>
            <w:tcW w:w="1551"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4K-YR</w:t>
            </w:r>
          </w:p>
        </w:tc>
        <w:tc>
          <w:tcPr>
            <w:tcW w:w="1551"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条</w:t>
            </w:r>
          </w:p>
        </w:tc>
        <w:tc>
          <w:tcPr>
            <w:tcW w:w="1551" w:type="dxa"/>
            <w:noWrap w:val="0"/>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549"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551"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w:t>
            </w:r>
          </w:p>
        </w:tc>
        <w:tc>
          <w:tcPr>
            <w:tcW w:w="2215" w:type="dxa"/>
            <w:noWrap w:val="0"/>
            <w:vAlign w:val="bottom"/>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反光碗</w:t>
            </w:r>
          </w:p>
        </w:tc>
        <w:tc>
          <w:tcPr>
            <w:tcW w:w="1551"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2K-W</w:t>
            </w:r>
          </w:p>
        </w:tc>
        <w:tc>
          <w:tcPr>
            <w:tcW w:w="1551"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个</w:t>
            </w:r>
          </w:p>
        </w:tc>
        <w:tc>
          <w:tcPr>
            <w:tcW w:w="1551" w:type="dxa"/>
            <w:noWrap w:val="0"/>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549"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551"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w:t>
            </w:r>
          </w:p>
        </w:tc>
        <w:tc>
          <w:tcPr>
            <w:tcW w:w="2215" w:type="dxa"/>
            <w:noWrap w:val="0"/>
            <w:vAlign w:val="bottom"/>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反光碗</w:t>
            </w:r>
          </w:p>
        </w:tc>
        <w:tc>
          <w:tcPr>
            <w:tcW w:w="1551"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4K/5K-W</w:t>
            </w:r>
          </w:p>
        </w:tc>
        <w:tc>
          <w:tcPr>
            <w:tcW w:w="1551"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个</w:t>
            </w:r>
          </w:p>
        </w:tc>
        <w:tc>
          <w:tcPr>
            <w:tcW w:w="1551" w:type="dxa"/>
            <w:noWrap w:val="0"/>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549"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551"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2215" w:type="dxa"/>
            <w:noWrap w:val="0"/>
            <w:vAlign w:val="bottom"/>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反光碗</w:t>
            </w:r>
          </w:p>
        </w:tc>
        <w:tc>
          <w:tcPr>
            <w:tcW w:w="1551"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RJ4000-W</w:t>
            </w:r>
          </w:p>
        </w:tc>
        <w:tc>
          <w:tcPr>
            <w:tcW w:w="1551"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个</w:t>
            </w:r>
          </w:p>
        </w:tc>
        <w:tc>
          <w:tcPr>
            <w:tcW w:w="1551" w:type="dxa"/>
            <w:noWrap w:val="0"/>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549"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551"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w:t>
            </w:r>
          </w:p>
        </w:tc>
        <w:tc>
          <w:tcPr>
            <w:tcW w:w="2215" w:type="dxa"/>
            <w:noWrap w:val="0"/>
            <w:vAlign w:val="bottom"/>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380V开关电源</w:t>
            </w:r>
          </w:p>
        </w:tc>
        <w:tc>
          <w:tcPr>
            <w:tcW w:w="1551"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2K/4K /5K-D</w:t>
            </w:r>
          </w:p>
        </w:tc>
        <w:tc>
          <w:tcPr>
            <w:tcW w:w="1551"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个</w:t>
            </w:r>
          </w:p>
        </w:tc>
        <w:tc>
          <w:tcPr>
            <w:tcW w:w="1551" w:type="dxa"/>
            <w:noWrap w:val="0"/>
            <w:vAlign w:val="bottom"/>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549"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551"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12</w:t>
            </w:r>
          </w:p>
        </w:tc>
        <w:tc>
          <w:tcPr>
            <w:tcW w:w="2215" w:type="dxa"/>
            <w:noWrap w:val="0"/>
            <w:vAlign w:val="bottom"/>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2K X轴板</w:t>
            </w:r>
          </w:p>
        </w:tc>
        <w:tc>
          <w:tcPr>
            <w:tcW w:w="1551"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2K-X</w:t>
            </w:r>
          </w:p>
        </w:tc>
        <w:tc>
          <w:tcPr>
            <w:tcW w:w="1551"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块</w:t>
            </w:r>
          </w:p>
        </w:tc>
        <w:tc>
          <w:tcPr>
            <w:tcW w:w="1551" w:type="dxa"/>
            <w:noWrap w:val="0"/>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549"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551"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13</w:t>
            </w:r>
          </w:p>
        </w:tc>
        <w:tc>
          <w:tcPr>
            <w:tcW w:w="2215" w:type="dxa"/>
            <w:noWrap w:val="0"/>
            <w:vAlign w:val="bottom"/>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2K Y轴板</w:t>
            </w:r>
          </w:p>
        </w:tc>
        <w:tc>
          <w:tcPr>
            <w:tcW w:w="1551"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2K-Y</w:t>
            </w:r>
          </w:p>
        </w:tc>
        <w:tc>
          <w:tcPr>
            <w:tcW w:w="1551"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块</w:t>
            </w:r>
          </w:p>
        </w:tc>
        <w:tc>
          <w:tcPr>
            <w:tcW w:w="1551" w:type="dxa"/>
            <w:noWrap w:val="0"/>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549"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551"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14</w:t>
            </w:r>
          </w:p>
        </w:tc>
        <w:tc>
          <w:tcPr>
            <w:tcW w:w="2215" w:type="dxa"/>
            <w:noWrap w:val="0"/>
            <w:vAlign w:val="bottom"/>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4K X轴板</w:t>
            </w:r>
          </w:p>
        </w:tc>
        <w:tc>
          <w:tcPr>
            <w:tcW w:w="1551"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4K-X</w:t>
            </w:r>
          </w:p>
        </w:tc>
        <w:tc>
          <w:tcPr>
            <w:tcW w:w="1551"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块</w:t>
            </w:r>
          </w:p>
        </w:tc>
        <w:tc>
          <w:tcPr>
            <w:tcW w:w="1551" w:type="dxa"/>
            <w:noWrap w:val="0"/>
            <w:vAlign w:val="bottom"/>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549"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551"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15</w:t>
            </w:r>
          </w:p>
        </w:tc>
        <w:tc>
          <w:tcPr>
            <w:tcW w:w="2215" w:type="dxa"/>
            <w:noWrap w:val="0"/>
            <w:vAlign w:val="bottom"/>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4K Y轴板</w:t>
            </w:r>
          </w:p>
        </w:tc>
        <w:tc>
          <w:tcPr>
            <w:tcW w:w="1551"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4K-Y</w:t>
            </w:r>
          </w:p>
        </w:tc>
        <w:tc>
          <w:tcPr>
            <w:tcW w:w="1551"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块</w:t>
            </w:r>
          </w:p>
        </w:tc>
        <w:tc>
          <w:tcPr>
            <w:tcW w:w="1551" w:type="dxa"/>
            <w:noWrap w:val="0"/>
            <w:vAlign w:val="bottom"/>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549"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551"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16</w:t>
            </w:r>
          </w:p>
        </w:tc>
        <w:tc>
          <w:tcPr>
            <w:tcW w:w="2215" w:type="dxa"/>
            <w:noWrap w:val="0"/>
            <w:vAlign w:val="bottom"/>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5K 主板（调光板）</w:t>
            </w:r>
          </w:p>
        </w:tc>
        <w:tc>
          <w:tcPr>
            <w:tcW w:w="1551"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5K-T</w:t>
            </w:r>
          </w:p>
        </w:tc>
        <w:tc>
          <w:tcPr>
            <w:tcW w:w="1551"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块</w:t>
            </w:r>
          </w:p>
        </w:tc>
        <w:tc>
          <w:tcPr>
            <w:tcW w:w="1551" w:type="dxa"/>
            <w:noWrap w:val="0"/>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549"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551"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17</w:t>
            </w:r>
          </w:p>
        </w:tc>
        <w:tc>
          <w:tcPr>
            <w:tcW w:w="2215" w:type="dxa"/>
            <w:noWrap w:val="0"/>
            <w:vAlign w:val="bottom"/>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5K Y轴板</w:t>
            </w:r>
          </w:p>
        </w:tc>
        <w:tc>
          <w:tcPr>
            <w:tcW w:w="1551"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5K-Y</w:t>
            </w:r>
          </w:p>
        </w:tc>
        <w:tc>
          <w:tcPr>
            <w:tcW w:w="1551"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块</w:t>
            </w:r>
          </w:p>
        </w:tc>
        <w:tc>
          <w:tcPr>
            <w:tcW w:w="1551" w:type="dxa"/>
            <w:noWrap w:val="0"/>
            <w:vAlign w:val="bottom"/>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549"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551"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18</w:t>
            </w:r>
          </w:p>
        </w:tc>
        <w:tc>
          <w:tcPr>
            <w:tcW w:w="2215" w:type="dxa"/>
            <w:noWrap w:val="0"/>
            <w:vAlign w:val="bottom"/>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CM5201成像灯电箱主板</w:t>
            </w:r>
          </w:p>
        </w:tc>
        <w:tc>
          <w:tcPr>
            <w:tcW w:w="1551"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CM5201-D</w:t>
            </w:r>
          </w:p>
        </w:tc>
        <w:tc>
          <w:tcPr>
            <w:tcW w:w="1551"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块</w:t>
            </w:r>
          </w:p>
        </w:tc>
        <w:tc>
          <w:tcPr>
            <w:tcW w:w="1551" w:type="dxa"/>
            <w:noWrap w:val="0"/>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549"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551"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19</w:t>
            </w:r>
          </w:p>
        </w:tc>
        <w:tc>
          <w:tcPr>
            <w:tcW w:w="2215" w:type="dxa"/>
            <w:noWrap w:val="0"/>
            <w:vAlign w:val="bottom"/>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CM5201成像灯XY板</w:t>
            </w:r>
          </w:p>
        </w:tc>
        <w:tc>
          <w:tcPr>
            <w:tcW w:w="1551"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CM5201-TV01</w:t>
            </w:r>
          </w:p>
        </w:tc>
        <w:tc>
          <w:tcPr>
            <w:tcW w:w="1551"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块</w:t>
            </w:r>
          </w:p>
        </w:tc>
        <w:tc>
          <w:tcPr>
            <w:tcW w:w="1551" w:type="dxa"/>
            <w:noWrap w:val="0"/>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549"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551"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w:t>
            </w:r>
          </w:p>
        </w:tc>
        <w:tc>
          <w:tcPr>
            <w:tcW w:w="2215" w:type="dxa"/>
            <w:noWrap w:val="0"/>
            <w:vAlign w:val="bottom"/>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CM5201成像灯颜色主板</w:t>
            </w:r>
          </w:p>
        </w:tc>
        <w:tc>
          <w:tcPr>
            <w:tcW w:w="1551"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CM5201-8-1</w:t>
            </w:r>
          </w:p>
        </w:tc>
        <w:tc>
          <w:tcPr>
            <w:tcW w:w="1551"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块</w:t>
            </w:r>
          </w:p>
        </w:tc>
        <w:tc>
          <w:tcPr>
            <w:tcW w:w="1551" w:type="dxa"/>
            <w:noWrap w:val="0"/>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549"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551"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21</w:t>
            </w:r>
          </w:p>
        </w:tc>
        <w:tc>
          <w:tcPr>
            <w:tcW w:w="2215" w:type="dxa"/>
            <w:noWrap w:val="0"/>
            <w:vAlign w:val="bottom"/>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CM5201成像灯切割盘主板</w:t>
            </w:r>
          </w:p>
        </w:tc>
        <w:tc>
          <w:tcPr>
            <w:tcW w:w="1551"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CM5201-8-2</w:t>
            </w:r>
          </w:p>
        </w:tc>
        <w:tc>
          <w:tcPr>
            <w:tcW w:w="1551"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块</w:t>
            </w:r>
          </w:p>
        </w:tc>
        <w:tc>
          <w:tcPr>
            <w:tcW w:w="1551" w:type="dxa"/>
            <w:noWrap w:val="0"/>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549"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551"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22</w:t>
            </w:r>
          </w:p>
        </w:tc>
        <w:tc>
          <w:tcPr>
            <w:tcW w:w="2215" w:type="dxa"/>
            <w:noWrap w:val="0"/>
            <w:vAlign w:val="bottom"/>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CM5201成像灯显示板</w:t>
            </w:r>
          </w:p>
        </w:tc>
        <w:tc>
          <w:tcPr>
            <w:tcW w:w="1551"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CM5201-X</w:t>
            </w:r>
          </w:p>
        </w:tc>
        <w:tc>
          <w:tcPr>
            <w:tcW w:w="1551"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块</w:t>
            </w:r>
          </w:p>
        </w:tc>
        <w:tc>
          <w:tcPr>
            <w:tcW w:w="1551" w:type="dxa"/>
            <w:noWrap w:val="0"/>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549"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551"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23</w:t>
            </w:r>
          </w:p>
        </w:tc>
        <w:tc>
          <w:tcPr>
            <w:tcW w:w="2215" w:type="dxa"/>
            <w:noWrap w:val="0"/>
            <w:vAlign w:val="bottom"/>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追光散热风扇 </w:t>
            </w:r>
          </w:p>
        </w:tc>
        <w:tc>
          <w:tcPr>
            <w:tcW w:w="1551"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RJ4000</w:t>
            </w:r>
          </w:p>
        </w:tc>
        <w:tc>
          <w:tcPr>
            <w:tcW w:w="1551"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个</w:t>
            </w:r>
          </w:p>
        </w:tc>
        <w:tc>
          <w:tcPr>
            <w:tcW w:w="1551" w:type="dxa"/>
            <w:noWrap w:val="0"/>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549"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551"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24</w:t>
            </w:r>
          </w:p>
        </w:tc>
        <w:tc>
          <w:tcPr>
            <w:tcW w:w="2215" w:type="dxa"/>
            <w:noWrap w:val="0"/>
            <w:vAlign w:val="bottom"/>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追光后凸透镜</w:t>
            </w:r>
          </w:p>
        </w:tc>
        <w:tc>
          <w:tcPr>
            <w:tcW w:w="1551"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RJ4000</w:t>
            </w:r>
          </w:p>
        </w:tc>
        <w:tc>
          <w:tcPr>
            <w:tcW w:w="1551"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个</w:t>
            </w:r>
          </w:p>
        </w:tc>
        <w:tc>
          <w:tcPr>
            <w:tcW w:w="1551" w:type="dxa"/>
            <w:noWrap w:val="0"/>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549"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551"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25</w:t>
            </w:r>
          </w:p>
        </w:tc>
        <w:tc>
          <w:tcPr>
            <w:tcW w:w="2215" w:type="dxa"/>
            <w:noWrap w:val="0"/>
            <w:vAlign w:val="bottom"/>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追光灯前凸透镜</w:t>
            </w:r>
          </w:p>
        </w:tc>
        <w:tc>
          <w:tcPr>
            <w:tcW w:w="1551"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RJ4000</w:t>
            </w:r>
          </w:p>
        </w:tc>
        <w:tc>
          <w:tcPr>
            <w:tcW w:w="1551"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个</w:t>
            </w:r>
          </w:p>
        </w:tc>
        <w:tc>
          <w:tcPr>
            <w:tcW w:w="1551" w:type="dxa"/>
            <w:noWrap w:val="0"/>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549"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551"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26</w:t>
            </w:r>
          </w:p>
        </w:tc>
        <w:tc>
          <w:tcPr>
            <w:tcW w:w="2215" w:type="dxa"/>
            <w:noWrap w:val="0"/>
            <w:vAlign w:val="bottom"/>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LED投光灯</w:t>
            </w:r>
          </w:p>
        </w:tc>
        <w:tc>
          <w:tcPr>
            <w:tcW w:w="1551"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3108</w:t>
            </w:r>
          </w:p>
        </w:tc>
        <w:tc>
          <w:tcPr>
            <w:tcW w:w="1551"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台</w:t>
            </w:r>
          </w:p>
        </w:tc>
        <w:tc>
          <w:tcPr>
            <w:tcW w:w="1551" w:type="dxa"/>
            <w:noWrap w:val="0"/>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549"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551"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27</w:t>
            </w:r>
          </w:p>
        </w:tc>
        <w:tc>
          <w:tcPr>
            <w:tcW w:w="2215"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4410驱动板</w:t>
            </w:r>
          </w:p>
        </w:tc>
        <w:tc>
          <w:tcPr>
            <w:tcW w:w="1551"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ACED4410P</w:t>
            </w:r>
          </w:p>
        </w:tc>
        <w:tc>
          <w:tcPr>
            <w:tcW w:w="1551"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块</w:t>
            </w:r>
          </w:p>
        </w:tc>
        <w:tc>
          <w:tcPr>
            <w:tcW w:w="1551" w:type="dxa"/>
            <w:noWrap w:val="0"/>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549"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551"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28</w:t>
            </w:r>
          </w:p>
        </w:tc>
        <w:tc>
          <w:tcPr>
            <w:tcW w:w="2215"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4410电源</w:t>
            </w:r>
          </w:p>
        </w:tc>
        <w:tc>
          <w:tcPr>
            <w:tcW w:w="1551"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POWER-450</w:t>
            </w:r>
          </w:p>
        </w:tc>
        <w:tc>
          <w:tcPr>
            <w:tcW w:w="1551"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个</w:t>
            </w:r>
          </w:p>
        </w:tc>
        <w:tc>
          <w:tcPr>
            <w:tcW w:w="1551" w:type="dxa"/>
            <w:noWrap w:val="0"/>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549"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551"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29</w:t>
            </w:r>
          </w:p>
        </w:tc>
        <w:tc>
          <w:tcPr>
            <w:tcW w:w="2215"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4410显示板</w:t>
            </w:r>
          </w:p>
        </w:tc>
        <w:tc>
          <w:tcPr>
            <w:tcW w:w="1551"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4410-X</w:t>
            </w:r>
          </w:p>
        </w:tc>
        <w:tc>
          <w:tcPr>
            <w:tcW w:w="1551"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块</w:t>
            </w:r>
          </w:p>
        </w:tc>
        <w:tc>
          <w:tcPr>
            <w:tcW w:w="1551" w:type="dxa"/>
            <w:noWrap w:val="0"/>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549"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551"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w:t>
            </w:r>
          </w:p>
        </w:tc>
        <w:tc>
          <w:tcPr>
            <w:tcW w:w="2215"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LED泛光灯</w:t>
            </w:r>
          </w:p>
        </w:tc>
        <w:tc>
          <w:tcPr>
            <w:tcW w:w="1551"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615C</w:t>
            </w:r>
          </w:p>
        </w:tc>
        <w:tc>
          <w:tcPr>
            <w:tcW w:w="1551"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台</w:t>
            </w:r>
          </w:p>
        </w:tc>
        <w:tc>
          <w:tcPr>
            <w:tcW w:w="1551" w:type="dxa"/>
            <w:noWrap w:val="0"/>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549"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551"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31</w:t>
            </w:r>
          </w:p>
        </w:tc>
        <w:tc>
          <w:tcPr>
            <w:tcW w:w="2215"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3024电源</w:t>
            </w:r>
          </w:p>
        </w:tc>
        <w:tc>
          <w:tcPr>
            <w:tcW w:w="1551"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3024</w:t>
            </w:r>
          </w:p>
        </w:tc>
        <w:tc>
          <w:tcPr>
            <w:tcW w:w="1551"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套</w:t>
            </w:r>
          </w:p>
        </w:tc>
        <w:tc>
          <w:tcPr>
            <w:tcW w:w="1551" w:type="dxa"/>
            <w:noWrap w:val="0"/>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549"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551"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32</w:t>
            </w:r>
          </w:p>
        </w:tc>
        <w:tc>
          <w:tcPr>
            <w:tcW w:w="2215"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3024驱动</w:t>
            </w:r>
          </w:p>
        </w:tc>
        <w:tc>
          <w:tcPr>
            <w:tcW w:w="1551"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3024</w:t>
            </w:r>
          </w:p>
        </w:tc>
        <w:tc>
          <w:tcPr>
            <w:tcW w:w="1551"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套</w:t>
            </w:r>
          </w:p>
        </w:tc>
        <w:tc>
          <w:tcPr>
            <w:tcW w:w="1551" w:type="dxa"/>
            <w:noWrap w:val="0"/>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549"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551"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33</w:t>
            </w:r>
          </w:p>
        </w:tc>
        <w:tc>
          <w:tcPr>
            <w:tcW w:w="2215"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3024主板</w:t>
            </w:r>
          </w:p>
        </w:tc>
        <w:tc>
          <w:tcPr>
            <w:tcW w:w="1551"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3024</w:t>
            </w:r>
          </w:p>
        </w:tc>
        <w:tc>
          <w:tcPr>
            <w:tcW w:w="1551"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套</w:t>
            </w:r>
          </w:p>
        </w:tc>
        <w:tc>
          <w:tcPr>
            <w:tcW w:w="1551" w:type="dxa"/>
            <w:noWrap w:val="0"/>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549"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含显示主板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551"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34</w:t>
            </w:r>
          </w:p>
        </w:tc>
        <w:tc>
          <w:tcPr>
            <w:tcW w:w="2215" w:type="dxa"/>
            <w:noWrap w:val="0"/>
            <w:vAlign w:val="bottom"/>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八回路控制板</w:t>
            </w:r>
          </w:p>
        </w:tc>
        <w:tc>
          <w:tcPr>
            <w:tcW w:w="1551"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40</w:t>
            </w:r>
          </w:p>
        </w:tc>
        <w:tc>
          <w:tcPr>
            <w:tcW w:w="1551"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套</w:t>
            </w:r>
          </w:p>
        </w:tc>
        <w:tc>
          <w:tcPr>
            <w:tcW w:w="1551" w:type="dxa"/>
            <w:noWrap w:val="0"/>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549"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551"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35</w:t>
            </w:r>
          </w:p>
        </w:tc>
        <w:tc>
          <w:tcPr>
            <w:tcW w:w="2215" w:type="dxa"/>
            <w:noWrap w:val="0"/>
            <w:vAlign w:val="bottom"/>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六回路控制板</w:t>
            </w:r>
          </w:p>
        </w:tc>
        <w:tc>
          <w:tcPr>
            <w:tcW w:w="1551"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41</w:t>
            </w:r>
          </w:p>
        </w:tc>
        <w:tc>
          <w:tcPr>
            <w:tcW w:w="1551"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套</w:t>
            </w:r>
          </w:p>
        </w:tc>
        <w:tc>
          <w:tcPr>
            <w:tcW w:w="1551" w:type="dxa"/>
            <w:noWrap w:val="0"/>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549"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551"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36</w:t>
            </w:r>
          </w:p>
        </w:tc>
        <w:tc>
          <w:tcPr>
            <w:tcW w:w="2215" w:type="dxa"/>
            <w:noWrap w:val="0"/>
            <w:vAlign w:val="bottom"/>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1400驱动</w:t>
            </w:r>
          </w:p>
        </w:tc>
        <w:tc>
          <w:tcPr>
            <w:tcW w:w="1551"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1551"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套</w:t>
            </w:r>
          </w:p>
        </w:tc>
        <w:tc>
          <w:tcPr>
            <w:tcW w:w="1551" w:type="dxa"/>
            <w:noWrap w:val="0"/>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549"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551"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37</w:t>
            </w:r>
          </w:p>
        </w:tc>
        <w:tc>
          <w:tcPr>
            <w:tcW w:w="2215" w:type="dxa"/>
            <w:noWrap w:val="0"/>
            <w:vAlign w:val="bottom"/>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1400电子整流器</w:t>
            </w:r>
          </w:p>
        </w:tc>
        <w:tc>
          <w:tcPr>
            <w:tcW w:w="1551"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w:t>
            </w:r>
          </w:p>
        </w:tc>
        <w:tc>
          <w:tcPr>
            <w:tcW w:w="1551"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套</w:t>
            </w:r>
          </w:p>
        </w:tc>
        <w:tc>
          <w:tcPr>
            <w:tcW w:w="1551" w:type="dxa"/>
            <w:noWrap w:val="0"/>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549"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551"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38</w:t>
            </w:r>
          </w:p>
        </w:tc>
        <w:tc>
          <w:tcPr>
            <w:tcW w:w="2215" w:type="dxa"/>
            <w:noWrap w:val="0"/>
            <w:vAlign w:val="bottom"/>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1400电子触发器</w:t>
            </w:r>
          </w:p>
        </w:tc>
        <w:tc>
          <w:tcPr>
            <w:tcW w:w="1551"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1551"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套</w:t>
            </w:r>
          </w:p>
        </w:tc>
        <w:tc>
          <w:tcPr>
            <w:tcW w:w="1551" w:type="dxa"/>
            <w:noWrap w:val="0"/>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549"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551"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39</w:t>
            </w:r>
          </w:p>
        </w:tc>
        <w:tc>
          <w:tcPr>
            <w:tcW w:w="2215" w:type="dxa"/>
            <w:noWrap w:val="0"/>
            <w:vAlign w:val="bottom"/>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触发器</w:t>
            </w:r>
          </w:p>
        </w:tc>
        <w:tc>
          <w:tcPr>
            <w:tcW w:w="1551"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2K/4K/5K </w:t>
            </w:r>
          </w:p>
        </w:tc>
        <w:tc>
          <w:tcPr>
            <w:tcW w:w="1551"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块</w:t>
            </w:r>
          </w:p>
        </w:tc>
        <w:tc>
          <w:tcPr>
            <w:tcW w:w="1551" w:type="dxa"/>
            <w:noWrap w:val="0"/>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549"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触发器整套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551"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40</w:t>
            </w:r>
          </w:p>
        </w:tc>
        <w:tc>
          <w:tcPr>
            <w:tcW w:w="2215" w:type="dxa"/>
            <w:noWrap w:val="0"/>
            <w:vAlign w:val="bottom"/>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XY轴驱动板</w:t>
            </w:r>
          </w:p>
        </w:tc>
        <w:tc>
          <w:tcPr>
            <w:tcW w:w="1551"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19</w:t>
            </w:r>
          </w:p>
        </w:tc>
        <w:tc>
          <w:tcPr>
            <w:tcW w:w="1551"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套</w:t>
            </w:r>
          </w:p>
        </w:tc>
        <w:tc>
          <w:tcPr>
            <w:tcW w:w="1551" w:type="dxa"/>
            <w:noWrap w:val="0"/>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549"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551"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41</w:t>
            </w:r>
          </w:p>
        </w:tc>
        <w:tc>
          <w:tcPr>
            <w:tcW w:w="2215" w:type="dxa"/>
            <w:noWrap w:val="0"/>
            <w:vAlign w:val="bottom"/>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黑白屏控制板</w:t>
            </w:r>
          </w:p>
        </w:tc>
        <w:tc>
          <w:tcPr>
            <w:tcW w:w="1551"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27</w:t>
            </w:r>
          </w:p>
        </w:tc>
        <w:tc>
          <w:tcPr>
            <w:tcW w:w="1551"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套</w:t>
            </w:r>
          </w:p>
        </w:tc>
        <w:tc>
          <w:tcPr>
            <w:tcW w:w="1551" w:type="dxa"/>
            <w:noWrap w:val="0"/>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549"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551"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42</w:t>
            </w:r>
          </w:p>
        </w:tc>
        <w:tc>
          <w:tcPr>
            <w:tcW w:w="2215" w:type="dxa"/>
            <w:noWrap w:val="0"/>
            <w:vAlign w:val="bottom"/>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5回路驱动板</w:t>
            </w:r>
          </w:p>
        </w:tc>
        <w:tc>
          <w:tcPr>
            <w:tcW w:w="1551"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31</w:t>
            </w:r>
          </w:p>
        </w:tc>
        <w:tc>
          <w:tcPr>
            <w:tcW w:w="1551"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套</w:t>
            </w:r>
          </w:p>
        </w:tc>
        <w:tc>
          <w:tcPr>
            <w:tcW w:w="1551" w:type="dxa"/>
            <w:noWrap w:val="0"/>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549"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551"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43</w:t>
            </w:r>
          </w:p>
        </w:tc>
        <w:tc>
          <w:tcPr>
            <w:tcW w:w="2215" w:type="dxa"/>
            <w:noWrap w:val="0"/>
            <w:vAlign w:val="bottom"/>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智能风机控制板</w:t>
            </w:r>
          </w:p>
        </w:tc>
        <w:tc>
          <w:tcPr>
            <w:tcW w:w="1551"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w:t>
            </w:r>
          </w:p>
        </w:tc>
        <w:tc>
          <w:tcPr>
            <w:tcW w:w="1551"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套</w:t>
            </w:r>
          </w:p>
        </w:tc>
        <w:tc>
          <w:tcPr>
            <w:tcW w:w="1551" w:type="dxa"/>
            <w:noWrap w:val="0"/>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549"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551"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44</w:t>
            </w:r>
          </w:p>
        </w:tc>
        <w:tc>
          <w:tcPr>
            <w:tcW w:w="2215" w:type="dxa"/>
            <w:noWrap w:val="0"/>
            <w:vAlign w:val="bottom"/>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染色切割光源</w:t>
            </w:r>
          </w:p>
        </w:tc>
        <w:tc>
          <w:tcPr>
            <w:tcW w:w="1551"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1400WASH PERF</w:t>
            </w:r>
          </w:p>
        </w:tc>
        <w:tc>
          <w:tcPr>
            <w:tcW w:w="1551"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套</w:t>
            </w:r>
          </w:p>
        </w:tc>
        <w:tc>
          <w:tcPr>
            <w:tcW w:w="1551" w:type="dxa"/>
            <w:noWrap w:val="0"/>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549"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551"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45</w:t>
            </w:r>
          </w:p>
        </w:tc>
        <w:tc>
          <w:tcPr>
            <w:tcW w:w="2215" w:type="dxa"/>
            <w:noWrap w:val="0"/>
            <w:vAlign w:val="bottom"/>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图案切割光源</w:t>
            </w:r>
          </w:p>
        </w:tc>
        <w:tc>
          <w:tcPr>
            <w:tcW w:w="1551"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1400 PERF</w:t>
            </w:r>
          </w:p>
        </w:tc>
        <w:tc>
          <w:tcPr>
            <w:tcW w:w="1551"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套</w:t>
            </w:r>
          </w:p>
        </w:tc>
        <w:tc>
          <w:tcPr>
            <w:tcW w:w="1551" w:type="dxa"/>
            <w:noWrap w:val="0"/>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549"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551"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46</w:t>
            </w:r>
          </w:p>
        </w:tc>
        <w:tc>
          <w:tcPr>
            <w:tcW w:w="2215" w:type="dxa"/>
            <w:noWrap w:val="0"/>
            <w:vAlign w:val="bottom"/>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三合一防水光源</w:t>
            </w:r>
          </w:p>
        </w:tc>
        <w:tc>
          <w:tcPr>
            <w:tcW w:w="1551"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470BSW-OD</w:t>
            </w:r>
          </w:p>
        </w:tc>
        <w:tc>
          <w:tcPr>
            <w:tcW w:w="1551"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套</w:t>
            </w:r>
          </w:p>
        </w:tc>
        <w:tc>
          <w:tcPr>
            <w:tcW w:w="1551" w:type="dxa"/>
            <w:noWrap w:val="0"/>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549"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551"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47</w:t>
            </w:r>
          </w:p>
        </w:tc>
        <w:tc>
          <w:tcPr>
            <w:tcW w:w="2215" w:type="dxa"/>
            <w:noWrap w:val="0"/>
            <w:vAlign w:val="bottom"/>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440防水光源</w:t>
            </w:r>
          </w:p>
        </w:tc>
        <w:tc>
          <w:tcPr>
            <w:tcW w:w="1551"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440P II BEAM</w:t>
            </w:r>
          </w:p>
        </w:tc>
        <w:tc>
          <w:tcPr>
            <w:tcW w:w="1551"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套</w:t>
            </w:r>
          </w:p>
        </w:tc>
        <w:tc>
          <w:tcPr>
            <w:tcW w:w="1551" w:type="dxa"/>
            <w:noWrap w:val="0"/>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549"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551"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48</w:t>
            </w:r>
          </w:p>
        </w:tc>
        <w:tc>
          <w:tcPr>
            <w:tcW w:w="2215" w:type="dxa"/>
            <w:noWrap w:val="0"/>
            <w:vAlign w:val="bottom"/>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470电子镇流器</w:t>
            </w:r>
          </w:p>
        </w:tc>
        <w:tc>
          <w:tcPr>
            <w:tcW w:w="1551"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17</w:t>
            </w:r>
          </w:p>
        </w:tc>
        <w:tc>
          <w:tcPr>
            <w:tcW w:w="1551"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套</w:t>
            </w:r>
          </w:p>
        </w:tc>
        <w:tc>
          <w:tcPr>
            <w:tcW w:w="1551" w:type="dxa"/>
            <w:noWrap w:val="0"/>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549"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551"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49</w:t>
            </w:r>
          </w:p>
        </w:tc>
        <w:tc>
          <w:tcPr>
            <w:tcW w:w="2215" w:type="dxa"/>
            <w:noWrap w:val="0"/>
            <w:vAlign w:val="bottom"/>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470风机控制PCB</w:t>
            </w:r>
          </w:p>
        </w:tc>
        <w:tc>
          <w:tcPr>
            <w:tcW w:w="1551"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24</w:t>
            </w:r>
          </w:p>
        </w:tc>
        <w:tc>
          <w:tcPr>
            <w:tcW w:w="1551"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套</w:t>
            </w:r>
          </w:p>
        </w:tc>
        <w:tc>
          <w:tcPr>
            <w:tcW w:w="1551" w:type="dxa"/>
            <w:noWrap w:val="0"/>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549"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551"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50</w:t>
            </w:r>
          </w:p>
        </w:tc>
        <w:tc>
          <w:tcPr>
            <w:tcW w:w="2215" w:type="dxa"/>
            <w:noWrap w:val="0"/>
            <w:vAlign w:val="bottom"/>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470驱动电源</w:t>
            </w:r>
          </w:p>
        </w:tc>
        <w:tc>
          <w:tcPr>
            <w:tcW w:w="1551"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41</w:t>
            </w:r>
          </w:p>
        </w:tc>
        <w:tc>
          <w:tcPr>
            <w:tcW w:w="1551"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套</w:t>
            </w:r>
          </w:p>
        </w:tc>
        <w:tc>
          <w:tcPr>
            <w:tcW w:w="1551" w:type="dxa"/>
            <w:noWrap w:val="0"/>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549"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551"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51</w:t>
            </w:r>
          </w:p>
        </w:tc>
        <w:tc>
          <w:tcPr>
            <w:tcW w:w="2215" w:type="dxa"/>
            <w:noWrap w:val="0"/>
            <w:vAlign w:val="bottom"/>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470八回路驱动PCBA</w:t>
            </w:r>
          </w:p>
        </w:tc>
        <w:tc>
          <w:tcPr>
            <w:tcW w:w="1551"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40</w:t>
            </w:r>
          </w:p>
        </w:tc>
        <w:tc>
          <w:tcPr>
            <w:tcW w:w="1551"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套</w:t>
            </w:r>
          </w:p>
        </w:tc>
        <w:tc>
          <w:tcPr>
            <w:tcW w:w="1551" w:type="dxa"/>
            <w:noWrap w:val="0"/>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549"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551"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52</w:t>
            </w:r>
          </w:p>
        </w:tc>
        <w:tc>
          <w:tcPr>
            <w:tcW w:w="2215" w:type="dxa"/>
            <w:noWrap w:val="0"/>
            <w:vAlign w:val="bottom"/>
          </w:tcPr>
          <w:p>
            <w:pPr>
              <w:widowControl/>
              <w:rPr>
                <w:rFonts w:ascii="宋体" w:hAnsi="宋体" w:cs="宋体"/>
                <w:color w:val="000000"/>
                <w:kern w:val="0"/>
                <w:sz w:val="20"/>
                <w:szCs w:val="20"/>
              </w:rPr>
            </w:pPr>
            <w:r>
              <w:rPr>
                <w:rFonts w:hint="eastAsia" w:ascii="宋体" w:hAnsi="宋体" w:cs="宋体"/>
                <w:color w:val="000000"/>
                <w:kern w:val="0"/>
                <w:sz w:val="20"/>
                <w:szCs w:val="20"/>
              </w:rPr>
              <w:t>470串口灯泡XY驱动板</w:t>
            </w:r>
          </w:p>
        </w:tc>
        <w:tc>
          <w:tcPr>
            <w:tcW w:w="1551"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37</w:t>
            </w:r>
          </w:p>
        </w:tc>
        <w:tc>
          <w:tcPr>
            <w:tcW w:w="1551"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套</w:t>
            </w:r>
          </w:p>
        </w:tc>
        <w:tc>
          <w:tcPr>
            <w:tcW w:w="1551" w:type="dxa"/>
            <w:noWrap w:val="0"/>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549"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551"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53</w:t>
            </w:r>
          </w:p>
        </w:tc>
        <w:tc>
          <w:tcPr>
            <w:tcW w:w="2215" w:type="dxa"/>
            <w:noWrap w:val="0"/>
            <w:vAlign w:val="bottom"/>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470黑白屏控制板</w:t>
            </w:r>
          </w:p>
        </w:tc>
        <w:tc>
          <w:tcPr>
            <w:tcW w:w="1551"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00027A</w:t>
            </w:r>
          </w:p>
        </w:tc>
        <w:tc>
          <w:tcPr>
            <w:tcW w:w="1551"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套</w:t>
            </w:r>
          </w:p>
        </w:tc>
        <w:tc>
          <w:tcPr>
            <w:tcW w:w="1551" w:type="dxa"/>
            <w:noWrap w:val="0"/>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549"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551"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54</w:t>
            </w:r>
          </w:p>
        </w:tc>
        <w:tc>
          <w:tcPr>
            <w:tcW w:w="2215" w:type="dxa"/>
            <w:noWrap w:val="0"/>
            <w:vAlign w:val="bottom"/>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440XY驱动主板</w:t>
            </w:r>
          </w:p>
        </w:tc>
        <w:tc>
          <w:tcPr>
            <w:tcW w:w="1551"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440P</w:t>
            </w:r>
          </w:p>
        </w:tc>
        <w:tc>
          <w:tcPr>
            <w:tcW w:w="1551"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套</w:t>
            </w:r>
          </w:p>
        </w:tc>
        <w:tc>
          <w:tcPr>
            <w:tcW w:w="1551" w:type="dxa"/>
            <w:noWrap w:val="0"/>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549"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551"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55</w:t>
            </w:r>
          </w:p>
        </w:tc>
        <w:tc>
          <w:tcPr>
            <w:tcW w:w="2215" w:type="dxa"/>
            <w:noWrap w:val="0"/>
            <w:vAlign w:val="bottom"/>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440驱动电源</w:t>
            </w:r>
          </w:p>
        </w:tc>
        <w:tc>
          <w:tcPr>
            <w:tcW w:w="1551"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440P</w:t>
            </w:r>
          </w:p>
        </w:tc>
        <w:tc>
          <w:tcPr>
            <w:tcW w:w="1551"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套</w:t>
            </w:r>
          </w:p>
        </w:tc>
        <w:tc>
          <w:tcPr>
            <w:tcW w:w="1551" w:type="dxa"/>
            <w:noWrap w:val="0"/>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549"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551"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56</w:t>
            </w:r>
          </w:p>
        </w:tc>
        <w:tc>
          <w:tcPr>
            <w:tcW w:w="2215" w:type="dxa"/>
            <w:noWrap w:val="0"/>
            <w:vAlign w:val="bottom"/>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440镇流器</w:t>
            </w:r>
          </w:p>
        </w:tc>
        <w:tc>
          <w:tcPr>
            <w:tcW w:w="1551"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440P</w:t>
            </w:r>
          </w:p>
        </w:tc>
        <w:tc>
          <w:tcPr>
            <w:tcW w:w="1551"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套</w:t>
            </w:r>
          </w:p>
        </w:tc>
        <w:tc>
          <w:tcPr>
            <w:tcW w:w="1551" w:type="dxa"/>
            <w:noWrap w:val="0"/>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549"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551"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57</w:t>
            </w:r>
          </w:p>
        </w:tc>
        <w:tc>
          <w:tcPr>
            <w:tcW w:w="2215" w:type="dxa"/>
            <w:noWrap w:val="0"/>
            <w:vAlign w:val="bottom"/>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440副板驱动</w:t>
            </w:r>
          </w:p>
        </w:tc>
        <w:tc>
          <w:tcPr>
            <w:tcW w:w="1551"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440P</w:t>
            </w:r>
          </w:p>
        </w:tc>
        <w:tc>
          <w:tcPr>
            <w:tcW w:w="1551"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套</w:t>
            </w:r>
          </w:p>
        </w:tc>
        <w:tc>
          <w:tcPr>
            <w:tcW w:w="1551" w:type="dxa"/>
            <w:noWrap w:val="0"/>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549"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551"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58</w:t>
            </w:r>
          </w:p>
        </w:tc>
        <w:tc>
          <w:tcPr>
            <w:tcW w:w="2215" w:type="dxa"/>
            <w:noWrap w:val="0"/>
            <w:vAlign w:val="bottom"/>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防水公母头</w:t>
            </w:r>
          </w:p>
        </w:tc>
        <w:tc>
          <w:tcPr>
            <w:tcW w:w="1551"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UT712</w:t>
            </w:r>
          </w:p>
        </w:tc>
        <w:tc>
          <w:tcPr>
            <w:tcW w:w="1551"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对</w:t>
            </w:r>
          </w:p>
        </w:tc>
        <w:tc>
          <w:tcPr>
            <w:tcW w:w="1551" w:type="dxa"/>
            <w:noWrap w:val="0"/>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549"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551"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59</w:t>
            </w:r>
          </w:p>
        </w:tc>
        <w:tc>
          <w:tcPr>
            <w:tcW w:w="2215" w:type="dxa"/>
            <w:noWrap w:val="0"/>
            <w:vAlign w:val="bottom"/>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512信号缆</w:t>
            </w:r>
          </w:p>
        </w:tc>
        <w:tc>
          <w:tcPr>
            <w:tcW w:w="1551"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DMX512</w:t>
            </w:r>
          </w:p>
        </w:tc>
        <w:tc>
          <w:tcPr>
            <w:tcW w:w="1551"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米</w:t>
            </w:r>
          </w:p>
        </w:tc>
        <w:tc>
          <w:tcPr>
            <w:tcW w:w="1551" w:type="dxa"/>
            <w:noWrap w:val="0"/>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549"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551"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60</w:t>
            </w:r>
          </w:p>
        </w:tc>
        <w:tc>
          <w:tcPr>
            <w:tcW w:w="2215" w:type="dxa"/>
            <w:noWrap w:val="0"/>
            <w:vAlign w:val="bottom"/>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河道防水灯</w:t>
            </w:r>
          </w:p>
        </w:tc>
        <w:tc>
          <w:tcPr>
            <w:tcW w:w="1551"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IP65</w:t>
            </w:r>
          </w:p>
        </w:tc>
        <w:tc>
          <w:tcPr>
            <w:tcW w:w="1551"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台</w:t>
            </w:r>
          </w:p>
        </w:tc>
        <w:tc>
          <w:tcPr>
            <w:tcW w:w="1551" w:type="dxa"/>
            <w:noWrap w:val="0"/>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549"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551"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61</w:t>
            </w:r>
          </w:p>
        </w:tc>
        <w:tc>
          <w:tcPr>
            <w:tcW w:w="2215" w:type="dxa"/>
            <w:noWrap w:val="0"/>
            <w:vAlign w:val="bottom"/>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河道防水灯主板</w:t>
            </w:r>
          </w:p>
        </w:tc>
        <w:tc>
          <w:tcPr>
            <w:tcW w:w="1551"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CM150+MC30</w:t>
            </w:r>
          </w:p>
        </w:tc>
        <w:tc>
          <w:tcPr>
            <w:tcW w:w="1551"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套</w:t>
            </w:r>
          </w:p>
        </w:tc>
        <w:tc>
          <w:tcPr>
            <w:tcW w:w="1551" w:type="dxa"/>
            <w:noWrap w:val="0"/>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549"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数显一体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551"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62</w:t>
            </w:r>
          </w:p>
        </w:tc>
        <w:tc>
          <w:tcPr>
            <w:tcW w:w="2215" w:type="dxa"/>
            <w:noWrap w:val="0"/>
            <w:vAlign w:val="bottom"/>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河道防水驱动</w:t>
            </w:r>
          </w:p>
        </w:tc>
        <w:tc>
          <w:tcPr>
            <w:tcW w:w="1551"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CJ450W</w:t>
            </w:r>
          </w:p>
        </w:tc>
        <w:tc>
          <w:tcPr>
            <w:tcW w:w="1551"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套</w:t>
            </w:r>
          </w:p>
        </w:tc>
        <w:tc>
          <w:tcPr>
            <w:tcW w:w="1551" w:type="dxa"/>
            <w:noWrap w:val="0"/>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549"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551"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63</w:t>
            </w:r>
          </w:p>
        </w:tc>
        <w:tc>
          <w:tcPr>
            <w:tcW w:w="2215" w:type="dxa"/>
            <w:noWrap w:val="0"/>
            <w:vAlign w:val="bottom"/>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河道防水铝基PCB</w:t>
            </w:r>
          </w:p>
        </w:tc>
        <w:tc>
          <w:tcPr>
            <w:tcW w:w="1551"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44MP12-3</w:t>
            </w:r>
          </w:p>
        </w:tc>
        <w:tc>
          <w:tcPr>
            <w:tcW w:w="1551"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套</w:t>
            </w:r>
          </w:p>
        </w:tc>
        <w:tc>
          <w:tcPr>
            <w:tcW w:w="1551" w:type="dxa"/>
            <w:noWrap w:val="0"/>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549"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含芯片驱动IC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551"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64</w:t>
            </w:r>
          </w:p>
        </w:tc>
        <w:tc>
          <w:tcPr>
            <w:tcW w:w="2215" w:type="dxa"/>
            <w:noWrap w:val="0"/>
            <w:vAlign w:val="bottom"/>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远程追光灯</w:t>
            </w:r>
          </w:p>
        </w:tc>
        <w:tc>
          <w:tcPr>
            <w:tcW w:w="1551"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4KW</w:t>
            </w:r>
          </w:p>
        </w:tc>
        <w:tc>
          <w:tcPr>
            <w:tcW w:w="1551"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台</w:t>
            </w:r>
          </w:p>
        </w:tc>
        <w:tc>
          <w:tcPr>
            <w:tcW w:w="1551" w:type="dxa"/>
            <w:noWrap w:val="0"/>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549"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变焦功能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551"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65</w:t>
            </w:r>
          </w:p>
        </w:tc>
        <w:tc>
          <w:tcPr>
            <w:tcW w:w="2215" w:type="dxa"/>
            <w:noWrap w:val="0"/>
            <w:vAlign w:val="bottom"/>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网络控制信号矩阵</w:t>
            </w:r>
          </w:p>
        </w:tc>
        <w:tc>
          <w:tcPr>
            <w:tcW w:w="1551"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ART880</w:t>
            </w:r>
          </w:p>
        </w:tc>
        <w:tc>
          <w:tcPr>
            <w:tcW w:w="1551"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台</w:t>
            </w:r>
          </w:p>
        </w:tc>
        <w:tc>
          <w:tcPr>
            <w:tcW w:w="1551" w:type="dxa"/>
            <w:noWrap w:val="0"/>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549"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含编程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551"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66</w:t>
            </w:r>
          </w:p>
        </w:tc>
        <w:tc>
          <w:tcPr>
            <w:tcW w:w="2215" w:type="dxa"/>
            <w:noWrap w:val="0"/>
            <w:vAlign w:val="bottom"/>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光纤控制器</w:t>
            </w:r>
          </w:p>
        </w:tc>
        <w:tc>
          <w:tcPr>
            <w:tcW w:w="1551"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DMX512</w:t>
            </w:r>
          </w:p>
        </w:tc>
        <w:tc>
          <w:tcPr>
            <w:tcW w:w="1551"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台</w:t>
            </w:r>
          </w:p>
        </w:tc>
        <w:tc>
          <w:tcPr>
            <w:tcW w:w="1551" w:type="dxa"/>
            <w:noWrap w:val="0"/>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549"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551"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67</w:t>
            </w:r>
          </w:p>
        </w:tc>
        <w:tc>
          <w:tcPr>
            <w:tcW w:w="2215" w:type="dxa"/>
            <w:noWrap w:val="0"/>
            <w:vAlign w:val="bottom"/>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中继网关服务器</w:t>
            </w:r>
          </w:p>
        </w:tc>
        <w:tc>
          <w:tcPr>
            <w:tcW w:w="1551"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RS485</w:t>
            </w:r>
          </w:p>
        </w:tc>
        <w:tc>
          <w:tcPr>
            <w:tcW w:w="1551"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套</w:t>
            </w:r>
          </w:p>
        </w:tc>
        <w:tc>
          <w:tcPr>
            <w:tcW w:w="1551" w:type="dxa"/>
            <w:noWrap w:val="0"/>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549"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551"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68</w:t>
            </w:r>
          </w:p>
        </w:tc>
        <w:tc>
          <w:tcPr>
            <w:tcW w:w="2215" w:type="dxa"/>
            <w:noWrap w:val="0"/>
            <w:vAlign w:val="bottom"/>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基站智能模块</w:t>
            </w:r>
          </w:p>
        </w:tc>
        <w:tc>
          <w:tcPr>
            <w:tcW w:w="1551"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MODE-BUS</w:t>
            </w:r>
          </w:p>
        </w:tc>
        <w:tc>
          <w:tcPr>
            <w:tcW w:w="1551"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套</w:t>
            </w:r>
          </w:p>
        </w:tc>
        <w:tc>
          <w:tcPr>
            <w:tcW w:w="1551" w:type="dxa"/>
            <w:noWrap w:val="0"/>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549"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含编程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551"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69</w:t>
            </w:r>
          </w:p>
        </w:tc>
        <w:tc>
          <w:tcPr>
            <w:tcW w:w="2215" w:type="dxa"/>
            <w:noWrap w:val="0"/>
            <w:vAlign w:val="bottom"/>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8路网络控制模块</w:t>
            </w:r>
          </w:p>
        </w:tc>
        <w:tc>
          <w:tcPr>
            <w:tcW w:w="1551"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ART-NET</w:t>
            </w:r>
          </w:p>
        </w:tc>
        <w:tc>
          <w:tcPr>
            <w:tcW w:w="1551"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套</w:t>
            </w:r>
          </w:p>
        </w:tc>
        <w:tc>
          <w:tcPr>
            <w:tcW w:w="1551" w:type="dxa"/>
            <w:noWrap w:val="0"/>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549"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含编程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551"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70</w:t>
            </w:r>
          </w:p>
        </w:tc>
        <w:tc>
          <w:tcPr>
            <w:tcW w:w="2215" w:type="dxa"/>
            <w:noWrap w:val="0"/>
            <w:vAlign w:val="bottom"/>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舞美无线投光灯</w:t>
            </w:r>
          </w:p>
        </w:tc>
        <w:tc>
          <w:tcPr>
            <w:tcW w:w="1551"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24HA</w:t>
            </w:r>
          </w:p>
        </w:tc>
        <w:tc>
          <w:tcPr>
            <w:tcW w:w="1551"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台</w:t>
            </w:r>
          </w:p>
        </w:tc>
        <w:tc>
          <w:tcPr>
            <w:tcW w:w="1551" w:type="dxa"/>
            <w:noWrap w:val="0"/>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549"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551"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71</w:t>
            </w:r>
          </w:p>
        </w:tc>
        <w:tc>
          <w:tcPr>
            <w:tcW w:w="2215" w:type="dxa"/>
            <w:noWrap w:val="0"/>
            <w:vAlign w:val="bottom"/>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信号放大分配器</w:t>
            </w:r>
          </w:p>
        </w:tc>
        <w:tc>
          <w:tcPr>
            <w:tcW w:w="1551"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8CH</w:t>
            </w:r>
          </w:p>
        </w:tc>
        <w:tc>
          <w:tcPr>
            <w:tcW w:w="1551"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台</w:t>
            </w:r>
          </w:p>
        </w:tc>
        <w:tc>
          <w:tcPr>
            <w:tcW w:w="1551" w:type="dxa"/>
            <w:noWrap w:val="0"/>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549"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551"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72</w:t>
            </w:r>
          </w:p>
        </w:tc>
        <w:tc>
          <w:tcPr>
            <w:tcW w:w="2215" w:type="dxa"/>
            <w:noWrap w:val="0"/>
            <w:vAlign w:val="bottom"/>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硅钢片变压器</w:t>
            </w:r>
          </w:p>
        </w:tc>
        <w:tc>
          <w:tcPr>
            <w:tcW w:w="1551"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1CH12V</w:t>
            </w:r>
          </w:p>
        </w:tc>
        <w:tc>
          <w:tcPr>
            <w:tcW w:w="1551"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只</w:t>
            </w:r>
          </w:p>
        </w:tc>
        <w:tc>
          <w:tcPr>
            <w:tcW w:w="1551" w:type="dxa"/>
            <w:noWrap w:val="0"/>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549"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551"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73</w:t>
            </w:r>
          </w:p>
        </w:tc>
        <w:tc>
          <w:tcPr>
            <w:tcW w:w="2215" w:type="dxa"/>
            <w:noWrap w:val="0"/>
            <w:vAlign w:val="bottom"/>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硅钢片变压器</w:t>
            </w:r>
          </w:p>
        </w:tc>
        <w:tc>
          <w:tcPr>
            <w:tcW w:w="1551"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2CH12/24V</w:t>
            </w:r>
          </w:p>
        </w:tc>
        <w:tc>
          <w:tcPr>
            <w:tcW w:w="1551"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只</w:t>
            </w:r>
          </w:p>
        </w:tc>
        <w:tc>
          <w:tcPr>
            <w:tcW w:w="1551" w:type="dxa"/>
            <w:noWrap w:val="0"/>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549"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551"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74</w:t>
            </w:r>
          </w:p>
        </w:tc>
        <w:tc>
          <w:tcPr>
            <w:tcW w:w="2215" w:type="dxa"/>
            <w:noWrap w:val="0"/>
            <w:vAlign w:val="bottom"/>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无线发射接收器</w:t>
            </w:r>
          </w:p>
        </w:tc>
        <w:tc>
          <w:tcPr>
            <w:tcW w:w="1551"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PR512</w:t>
            </w:r>
          </w:p>
        </w:tc>
        <w:tc>
          <w:tcPr>
            <w:tcW w:w="1551"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套</w:t>
            </w:r>
          </w:p>
        </w:tc>
        <w:tc>
          <w:tcPr>
            <w:tcW w:w="1551" w:type="dxa"/>
            <w:noWrap w:val="0"/>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549"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2台1套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551"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75</w:t>
            </w:r>
          </w:p>
        </w:tc>
        <w:tc>
          <w:tcPr>
            <w:tcW w:w="2215" w:type="dxa"/>
            <w:noWrap w:val="0"/>
            <w:vAlign w:val="bottom"/>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551"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551"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551" w:type="dxa"/>
            <w:noWrap w:val="0"/>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549"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9968" w:type="dxa"/>
            <w:gridSpan w:val="6"/>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特效系统部分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551"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76</w:t>
            </w:r>
          </w:p>
        </w:tc>
        <w:tc>
          <w:tcPr>
            <w:tcW w:w="2215" w:type="dxa"/>
            <w:noWrap w:val="0"/>
            <w:vAlign w:val="bottom"/>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特效雪花油</w:t>
            </w:r>
          </w:p>
        </w:tc>
        <w:tc>
          <w:tcPr>
            <w:tcW w:w="1551"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SL-5</w:t>
            </w:r>
          </w:p>
        </w:tc>
        <w:tc>
          <w:tcPr>
            <w:tcW w:w="1551"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瓶</w:t>
            </w:r>
          </w:p>
        </w:tc>
        <w:tc>
          <w:tcPr>
            <w:tcW w:w="1551" w:type="dxa"/>
            <w:noWrap w:val="0"/>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549"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551"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77</w:t>
            </w:r>
          </w:p>
        </w:tc>
        <w:tc>
          <w:tcPr>
            <w:tcW w:w="2215" w:type="dxa"/>
            <w:noWrap w:val="0"/>
            <w:vAlign w:val="bottom"/>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特效喷火油</w:t>
            </w:r>
          </w:p>
        </w:tc>
        <w:tc>
          <w:tcPr>
            <w:tcW w:w="1551"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HSP302</w:t>
            </w:r>
          </w:p>
        </w:tc>
        <w:tc>
          <w:tcPr>
            <w:tcW w:w="1551"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瓶</w:t>
            </w:r>
          </w:p>
        </w:tc>
        <w:tc>
          <w:tcPr>
            <w:tcW w:w="1551" w:type="dxa"/>
            <w:noWrap w:val="0"/>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549"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551"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78</w:t>
            </w:r>
          </w:p>
        </w:tc>
        <w:tc>
          <w:tcPr>
            <w:tcW w:w="2215" w:type="dxa"/>
            <w:noWrap w:val="0"/>
            <w:vAlign w:val="bottom"/>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特效雪花机</w:t>
            </w:r>
          </w:p>
        </w:tc>
        <w:tc>
          <w:tcPr>
            <w:tcW w:w="1551"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特效设备</w:t>
            </w:r>
          </w:p>
        </w:tc>
        <w:tc>
          <w:tcPr>
            <w:tcW w:w="1551"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台</w:t>
            </w:r>
          </w:p>
        </w:tc>
        <w:tc>
          <w:tcPr>
            <w:tcW w:w="1551" w:type="dxa"/>
            <w:noWrap w:val="0"/>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549"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551"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79</w:t>
            </w:r>
          </w:p>
        </w:tc>
        <w:tc>
          <w:tcPr>
            <w:tcW w:w="2215"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雪花机主板</w:t>
            </w:r>
          </w:p>
        </w:tc>
        <w:tc>
          <w:tcPr>
            <w:tcW w:w="1551"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特效设备</w:t>
            </w:r>
          </w:p>
        </w:tc>
        <w:tc>
          <w:tcPr>
            <w:tcW w:w="1551"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套</w:t>
            </w:r>
          </w:p>
        </w:tc>
        <w:tc>
          <w:tcPr>
            <w:tcW w:w="1551" w:type="dxa"/>
            <w:noWrap w:val="0"/>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549"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551"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80</w:t>
            </w:r>
          </w:p>
        </w:tc>
        <w:tc>
          <w:tcPr>
            <w:tcW w:w="2215"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高压风泵</w:t>
            </w:r>
          </w:p>
        </w:tc>
        <w:tc>
          <w:tcPr>
            <w:tcW w:w="1551"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特效设备</w:t>
            </w:r>
          </w:p>
        </w:tc>
        <w:tc>
          <w:tcPr>
            <w:tcW w:w="1551"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套</w:t>
            </w:r>
          </w:p>
        </w:tc>
        <w:tc>
          <w:tcPr>
            <w:tcW w:w="1551" w:type="dxa"/>
            <w:noWrap w:val="0"/>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549"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551"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81</w:t>
            </w:r>
          </w:p>
        </w:tc>
        <w:tc>
          <w:tcPr>
            <w:tcW w:w="2215"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雪花机电源板</w:t>
            </w:r>
          </w:p>
        </w:tc>
        <w:tc>
          <w:tcPr>
            <w:tcW w:w="1551"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特效设备</w:t>
            </w:r>
          </w:p>
        </w:tc>
        <w:tc>
          <w:tcPr>
            <w:tcW w:w="1551"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套</w:t>
            </w:r>
          </w:p>
        </w:tc>
        <w:tc>
          <w:tcPr>
            <w:tcW w:w="1551" w:type="dxa"/>
            <w:noWrap w:val="0"/>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549"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551"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82</w:t>
            </w:r>
          </w:p>
        </w:tc>
        <w:tc>
          <w:tcPr>
            <w:tcW w:w="2215"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高压电磁阀门</w:t>
            </w:r>
          </w:p>
        </w:tc>
        <w:tc>
          <w:tcPr>
            <w:tcW w:w="1551"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特效设备</w:t>
            </w:r>
          </w:p>
        </w:tc>
        <w:tc>
          <w:tcPr>
            <w:tcW w:w="1551"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套</w:t>
            </w:r>
          </w:p>
        </w:tc>
        <w:tc>
          <w:tcPr>
            <w:tcW w:w="1551" w:type="dxa"/>
            <w:noWrap w:val="0"/>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549"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551"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83</w:t>
            </w:r>
          </w:p>
        </w:tc>
        <w:tc>
          <w:tcPr>
            <w:tcW w:w="2215"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高压包</w:t>
            </w:r>
          </w:p>
        </w:tc>
        <w:tc>
          <w:tcPr>
            <w:tcW w:w="1551"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特效设备</w:t>
            </w:r>
          </w:p>
        </w:tc>
        <w:tc>
          <w:tcPr>
            <w:tcW w:w="1551"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套</w:t>
            </w:r>
          </w:p>
        </w:tc>
        <w:tc>
          <w:tcPr>
            <w:tcW w:w="1551" w:type="dxa"/>
            <w:noWrap w:val="0"/>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549"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551"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84</w:t>
            </w:r>
          </w:p>
        </w:tc>
        <w:tc>
          <w:tcPr>
            <w:tcW w:w="2215"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高压点火针</w:t>
            </w:r>
          </w:p>
        </w:tc>
        <w:tc>
          <w:tcPr>
            <w:tcW w:w="1551"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特效设备</w:t>
            </w:r>
          </w:p>
        </w:tc>
        <w:tc>
          <w:tcPr>
            <w:tcW w:w="1551"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套</w:t>
            </w:r>
          </w:p>
        </w:tc>
        <w:tc>
          <w:tcPr>
            <w:tcW w:w="1551" w:type="dxa"/>
            <w:noWrap w:val="0"/>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549"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551"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85</w:t>
            </w:r>
          </w:p>
        </w:tc>
        <w:tc>
          <w:tcPr>
            <w:tcW w:w="2215"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喷火机控制板</w:t>
            </w:r>
          </w:p>
        </w:tc>
        <w:tc>
          <w:tcPr>
            <w:tcW w:w="1551"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特效设备</w:t>
            </w:r>
          </w:p>
        </w:tc>
        <w:tc>
          <w:tcPr>
            <w:tcW w:w="1551"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套</w:t>
            </w:r>
          </w:p>
        </w:tc>
        <w:tc>
          <w:tcPr>
            <w:tcW w:w="1551" w:type="dxa"/>
            <w:noWrap w:val="0"/>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549"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551"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86</w:t>
            </w:r>
          </w:p>
        </w:tc>
        <w:tc>
          <w:tcPr>
            <w:tcW w:w="2215"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蓝宝石冷雾头</w:t>
            </w:r>
          </w:p>
        </w:tc>
        <w:tc>
          <w:tcPr>
            <w:tcW w:w="1551"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特效设备</w:t>
            </w:r>
          </w:p>
        </w:tc>
        <w:tc>
          <w:tcPr>
            <w:tcW w:w="1551"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套</w:t>
            </w:r>
          </w:p>
        </w:tc>
        <w:tc>
          <w:tcPr>
            <w:tcW w:w="1551" w:type="dxa"/>
            <w:noWrap w:val="0"/>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549"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551"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87</w:t>
            </w:r>
          </w:p>
        </w:tc>
        <w:tc>
          <w:tcPr>
            <w:tcW w:w="2215"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蓝宝石冷雾喷嘴</w:t>
            </w:r>
          </w:p>
        </w:tc>
        <w:tc>
          <w:tcPr>
            <w:tcW w:w="1551"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特效设备</w:t>
            </w:r>
          </w:p>
        </w:tc>
        <w:tc>
          <w:tcPr>
            <w:tcW w:w="1551"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套</w:t>
            </w:r>
          </w:p>
        </w:tc>
        <w:tc>
          <w:tcPr>
            <w:tcW w:w="1551" w:type="dxa"/>
            <w:noWrap w:val="0"/>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549"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551"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88</w:t>
            </w:r>
          </w:p>
        </w:tc>
        <w:tc>
          <w:tcPr>
            <w:tcW w:w="2215"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电源主板</w:t>
            </w:r>
          </w:p>
        </w:tc>
        <w:tc>
          <w:tcPr>
            <w:tcW w:w="1551"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特效设备</w:t>
            </w:r>
          </w:p>
        </w:tc>
        <w:tc>
          <w:tcPr>
            <w:tcW w:w="1551"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套</w:t>
            </w:r>
          </w:p>
        </w:tc>
        <w:tc>
          <w:tcPr>
            <w:tcW w:w="1551" w:type="dxa"/>
            <w:noWrap w:val="0"/>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549"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551"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89</w:t>
            </w:r>
          </w:p>
        </w:tc>
        <w:tc>
          <w:tcPr>
            <w:tcW w:w="2215"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信号控制主板</w:t>
            </w:r>
          </w:p>
        </w:tc>
        <w:tc>
          <w:tcPr>
            <w:tcW w:w="1551"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特效设备</w:t>
            </w:r>
          </w:p>
        </w:tc>
        <w:tc>
          <w:tcPr>
            <w:tcW w:w="1551"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套</w:t>
            </w:r>
          </w:p>
        </w:tc>
        <w:tc>
          <w:tcPr>
            <w:tcW w:w="1551" w:type="dxa"/>
            <w:noWrap w:val="0"/>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549"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9968" w:type="dxa"/>
            <w:gridSpan w:val="6"/>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音响系统部分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551"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90</w:t>
            </w:r>
          </w:p>
        </w:tc>
        <w:tc>
          <w:tcPr>
            <w:tcW w:w="2215"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无线手持话筒</w:t>
            </w:r>
          </w:p>
        </w:tc>
        <w:tc>
          <w:tcPr>
            <w:tcW w:w="1551"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SLX24/SM58</w:t>
            </w:r>
          </w:p>
        </w:tc>
        <w:tc>
          <w:tcPr>
            <w:tcW w:w="1551"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套</w:t>
            </w:r>
          </w:p>
        </w:tc>
        <w:tc>
          <w:tcPr>
            <w:tcW w:w="1551" w:type="dxa"/>
            <w:noWrap w:val="0"/>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549"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551"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91</w:t>
            </w:r>
          </w:p>
        </w:tc>
        <w:tc>
          <w:tcPr>
            <w:tcW w:w="2215"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无线分配器</w:t>
            </w:r>
          </w:p>
        </w:tc>
        <w:tc>
          <w:tcPr>
            <w:tcW w:w="1551"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ASA1</w:t>
            </w:r>
          </w:p>
        </w:tc>
        <w:tc>
          <w:tcPr>
            <w:tcW w:w="1551"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套</w:t>
            </w:r>
          </w:p>
        </w:tc>
        <w:tc>
          <w:tcPr>
            <w:tcW w:w="1551" w:type="dxa"/>
            <w:noWrap w:val="0"/>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549"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551"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92</w:t>
            </w:r>
          </w:p>
        </w:tc>
        <w:tc>
          <w:tcPr>
            <w:tcW w:w="2215"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接收天线</w:t>
            </w:r>
          </w:p>
        </w:tc>
        <w:tc>
          <w:tcPr>
            <w:tcW w:w="1551"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A2003</w:t>
            </w:r>
          </w:p>
        </w:tc>
        <w:tc>
          <w:tcPr>
            <w:tcW w:w="1551"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套</w:t>
            </w:r>
          </w:p>
        </w:tc>
        <w:tc>
          <w:tcPr>
            <w:tcW w:w="1551" w:type="dxa"/>
            <w:noWrap w:val="0"/>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549"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551"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93</w:t>
            </w:r>
          </w:p>
        </w:tc>
        <w:tc>
          <w:tcPr>
            <w:tcW w:w="2215"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分配器电源</w:t>
            </w:r>
          </w:p>
        </w:tc>
        <w:tc>
          <w:tcPr>
            <w:tcW w:w="1551"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NT1-1</w:t>
            </w:r>
          </w:p>
        </w:tc>
        <w:tc>
          <w:tcPr>
            <w:tcW w:w="1551"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套</w:t>
            </w:r>
          </w:p>
        </w:tc>
        <w:tc>
          <w:tcPr>
            <w:tcW w:w="1551" w:type="dxa"/>
            <w:noWrap w:val="0"/>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549"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551"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94</w:t>
            </w:r>
          </w:p>
        </w:tc>
        <w:tc>
          <w:tcPr>
            <w:tcW w:w="2215"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CD播放器</w:t>
            </w:r>
          </w:p>
        </w:tc>
        <w:tc>
          <w:tcPr>
            <w:tcW w:w="1551"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CD-200</w:t>
            </w:r>
          </w:p>
        </w:tc>
        <w:tc>
          <w:tcPr>
            <w:tcW w:w="1551"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套</w:t>
            </w:r>
          </w:p>
        </w:tc>
        <w:tc>
          <w:tcPr>
            <w:tcW w:w="1551" w:type="dxa"/>
            <w:noWrap w:val="0"/>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549"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551"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95</w:t>
            </w:r>
          </w:p>
        </w:tc>
        <w:tc>
          <w:tcPr>
            <w:tcW w:w="2215"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主线阵音箱高音单元</w:t>
            </w:r>
          </w:p>
        </w:tc>
        <w:tc>
          <w:tcPr>
            <w:tcW w:w="1551"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SY9060-WP</w:t>
            </w:r>
          </w:p>
        </w:tc>
        <w:tc>
          <w:tcPr>
            <w:tcW w:w="1551"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只</w:t>
            </w:r>
          </w:p>
        </w:tc>
        <w:tc>
          <w:tcPr>
            <w:tcW w:w="1551" w:type="dxa"/>
            <w:noWrap w:val="0"/>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549"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551"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96</w:t>
            </w:r>
          </w:p>
        </w:tc>
        <w:tc>
          <w:tcPr>
            <w:tcW w:w="2215"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主线阵音箱中音单元</w:t>
            </w:r>
          </w:p>
        </w:tc>
        <w:tc>
          <w:tcPr>
            <w:tcW w:w="1551"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SY9060-WP</w:t>
            </w:r>
          </w:p>
        </w:tc>
        <w:tc>
          <w:tcPr>
            <w:tcW w:w="1551"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只</w:t>
            </w:r>
          </w:p>
        </w:tc>
        <w:tc>
          <w:tcPr>
            <w:tcW w:w="1551" w:type="dxa"/>
            <w:noWrap w:val="0"/>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549"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551"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97</w:t>
            </w:r>
          </w:p>
        </w:tc>
        <w:tc>
          <w:tcPr>
            <w:tcW w:w="2215"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主线阵音箱低音单元</w:t>
            </w:r>
          </w:p>
        </w:tc>
        <w:tc>
          <w:tcPr>
            <w:tcW w:w="1551"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SY9060-WP</w:t>
            </w:r>
          </w:p>
        </w:tc>
        <w:tc>
          <w:tcPr>
            <w:tcW w:w="1551"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只</w:t>
            </w:r>
          </w:p>
        </w:tc>
        <w:tc>
          <w:tcPr>
            <w:tcW w:w="1551" w:type="dxa"/>
            <w:noWrap w:val="0"/>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549"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551"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98</w:t>
            </w:r>
          </w:p>
        </w:tc>
        <w:tc>
          <w:tcPr>
            <w:tcW w:w="2215"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功率放大器</w:t>
            </w:r>
          </w:p>
        </w:tc>
        <w:tc>
          <w:tcPr>
            <w:tcW w:w="1551"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MC8800</w:t>
            </w:r>
          </w:p>
        </w:tc>
        <w:tc>
          <w:tcPr>
            <w:tcW w:w="1551"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台</w:t>
            </w:r>
          </w:p>
        </w:tc>
        <w:tc>
          <w:tcPr>
            <w:tcW w:w="1551" w:type="dxa"/>
            <w:noWrap w:val="0"/>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549"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551"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99</w:t>
            </w:r>
          </w:p>
        </w:tc>
        <w:tc>
          <w:tcPr>
            <w:tcW w:w="2215"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效果主音箱高音单元</w:t>
            </w:r>
          </w:p>
        </w:tc>
        <w:tc>
          <w:tcPr>
            <w:tcW w:w="1551"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SY9050-WP</w:t>
            </w:r>
          </w:p>
        </w:tc>
        <w:tc>
          <w:tcPr>
            <w:tcW w:w="1551"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只</w:t>
            </w:r>
          </w:p>
        </w:tc>
        <w:tc>
          <w:tcPr>
            <w:tcW w:w="1551" w:type="dxa"/>
            <w:noWrap w:val="0"/>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549"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551"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2215"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效果主音箱中音单元</w:t>
            </w:r>
          </w:p>
        </w:tc>
        <w:tc>
          <w:tcPr>
            <w:tcW w:w="1551"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SY9050-WP</w:t>
            </w:r>
          </w:p>
        </w:tc>
        <w:tc>
          <w:tcPr>
            <w:tcW w:w="1551"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只</w:t>
            </w:r>
          </w:p>
        </w:tc>
        <w:tc>
          <w:tcPr>
            <w:tcW w:w="1551" w:type="dxa"/>
            <w:noWrap w:val="0"/>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549"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551"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101</w:t>
            </w:r>
          </w:p>
        </w:tc>
        <w:tc>
          <w:tcPr>
            <w:tcW w:w="2215"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效果主音箱低音单元</w:t>
            </w:r>
          </w:p>
        </w:tc>
        <w:tc>
          <w:tcPr>
            <w:tcW w:w="1551"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SY9050-WP</w:t>
            </w:r>
          </w:p>
        </w:tc>
        <w:tc>
          <w:tcPr>
            <w:tcW w:w="1551"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只</w:t>
            </w:r>
          </w:p>
        </w:tc>
        <w:tc>
          <w:tcPr>
            <w:tcW w:w="1551" w:type="dxa"/>
            <w:noWrap w:val="0"/>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549"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551"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102</w:t>
            </w:r>
          </w:p>
        </w:tc>
        <w:tc>
          <w:tcPr>
            <w:tcW w:w="2215"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超低音箱低音单元</w:t>
            </w:r>
          </w:p>
        </w:tc>
        <w:tc>
          <w:tcPr>
            <w:tcW w:w="1551"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SY9010S-WP</w:t>
            </w:r>
          </w:p>
        </w:tc>
        <w:tc>
          <w:tcPr>
            <w:tcW w:w="1551"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只</w:t>
            </w:r>
          </w:p>
        </w:tc>
        <w:tc>
          <w:tcPr>
            <w:tcW w:w="1551" w:type="dxa"/>
            <w:noWrap w:val="0"/>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549"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551"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103</w:t>
            </w:r>
          </w:p>
        </w:tc>
        <w:tc>
          <w:tcPr>
            <w:tcW w:w="2215"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环绕辅助音箱高音单元</w:t>
            </w:r>
          </w:p>
        </w:tc>
        <w:tc>
          <w:tcPr>
            <w:tcW w:w="1551"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SY9023-WP</w:t>
            </w:r>
          </w:p>
        </w:tc>
        <w:tc>
          <w:tcPr>
            <w:tcW w:w="1551"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只</w:t>
            </w:r>
          </w:p>
        </w:tc>
        <w:tc>
          <w:tcPr>
            <w:tcW w:w="1551" w:type="dxa"/>
            <w:noWrap w:val="0"/>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549"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551"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104</w:t>
            </w:r>
          </w:p>
        </w:tc>
        <w:tc>
          <w:tcPr>
            <w:tcW w:w="2215"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环绕辅助音箱低音单元</w:t>
            </w:r>
          </w:p>
        </w:tc>
        <w:tc>
          <w:tcPr>
            <w:tcW w:w="1551"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SY9023-WP</w:t>
            </w:r>
          </w:p>
        </w:tc>
        <w:tc>
          <w:tcPr>
            <w:tcW w:w="1551"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只</w:t>
            </w:r>
          </w:p>
        </w:tc>
        <w:tc>
          <w:tcPr>
            <w:tcW w:w="1551" w:type="dxa"/>
            <w:noWrap w:val="0"/>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549"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551"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105</w:t>
            </w:r>
          </w:p>
        </w:tc>
        <w:tc>
          <w:tcPr>
            <w:tcW w:w="2215"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功率放大器</w:t>
            </w:r>
          </w:p>
        </w:tc>
        <w:tc>
          <w:tcPr>
            <w:tcW w:w="1551"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MC4800</w:t>
            </w:r>
          </w:p>
        </w:tc>
        <w:tc>
          <w:tcPr>
            <w:tcW w:w="1551"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台</w:t>
            </w:r>
          </w:p>
        </w:tc>
        <w:tc>
          <w:tcPr>
            <w:tcW w:w="1551" w:type="dxa"/>
            <w:noWrap w:val="0"/>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549"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551"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106</w:t>
            </w:r>
          </w:p>
        </w:tc>
        <w:tc>
          <w:tcPr>
            <w:tcW w:w="2215"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辅助音箱高音单元</w:t>
            </w:r>
          </w:p>
        </w:tc>
        <w:tc>
          <w:tcPr>
            <w:tcW w:w="1551"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SY9081</w:t>
            </w:r>
          </w:p>
        </w:tc>
        <w:tc>
          <w:tcPr>
            <w:tcW w:w="1551"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只</w:t>
            </w:r>
          </w:p>
        </w:tc>
        <w:tc>
          <w:tcPr>
            <w:tcW w:w="1551" w:type="dxa"/>
            <w:noWrap w:val="0"/>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549"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551"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107</w:t>
            </w:r>
          </w:p>
        </w:tc>
        <w:tc>
          <w:tcPr>
            <w:tcW w:w="2215"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辅助音箱低音单元</w:t>
            </w:r>
          </w:p>
        </w:tc>
        <w:tc>
          <w:tcPr>
            <w:tcW w:w="1551"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SY9081</w:t>
            </w:r>
          </w:p>
        </w:tc>
        <w:tc>
          <w:tcPr>
            <w:tcW w:w="1551"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只</w:t>
            </w:r>
          </w:p>
        </w:tc>
        <w:tc>
          <w:tcPr>
            <w:tcW w:w="1551" w:type="dxa"/>
            <w:noWrap w:val="0"/>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549"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551"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108</w:t>
            </w:r>
          </w:p>
        </w:tc>
        <w:tc>
          <w:tcPr>
            <w:tcW w:w="2215"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辅助音箱高音单元</w:t>
            </w:r>
          </w:p>
        </w:tc>
        <w:tc>
          <w:tcPr>
            <w:tcW w:w="1551"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SY8060</w:t>
            </w:r>
          </w:p>
        </w:tc>
        <w:tc>
          <w:tcPr>
            <w:tcW w:w="1551"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只</w:t>
            </w:r>
          </w:p>
        </w:tc>
        <w:tc>
          <w:tcPr>
            <w:tcW w:w="1551" w:type="dxa"/>
            <w:noWrap w:val="0"/>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549"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551"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109</w:t>
            </w:r>
          </w:p>
        </w:tc>
        <w:tc>
          <w:tcPr>
            <w:tcW w:w="2215"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辅助音箱低音单元</w:t>
            </w:r>
          </w:p>
        </w:tc>
        <w:tc>
          <w:tcPr>
            <w:tcW w:w="1551"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SY8060</w:t>
            </w:r>
          </w:p>
        </w:tc>
        <w:tc>
          <w:tcPr>
            <w:tcW w:w="1551"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只</w:t>
            </w:r>
          </w:p>
        </w:tc>
        <w:tc>
          <w:tcPr>
            <w:tcW w:w="1551" w:type="dxa"/>
            <w:noWrap w:val="0"/>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549"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551"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110</w:t>
            </w:r>
          </w:p>
        </w:tc>
        <w:tc>
          <w:tcPr>
            <w:tcW w:w="2215"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返送音箱高音单元</w:t>
            </w:r>
          </w:p>
        </w:tc>
        <w:tc>
          <w:tcPr>
            <w:tcW w:w="1551"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SY9005-WP</w:t>
            </w:r>
          </w:p>
        </w:tc>
        <w:tc>
          <w:tcPr>
            <w:tcW w:w="1551"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只</w:t>
            </w:r>
          </w:p>
        </w:tc>
        <w:tc>
          <w:tcPr>
            <w:tcW w:w="1551" w:type="dxa"/>
            <w:noWrap w:val="0"/>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549"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551"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111</w:t>
            </w:r>
          </w:p>
        </w:tc>
        <w:tc>
          <w:tcPr>
            <w:tcW w:w="2215"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返送音箱低音单元</w:t>
            </w:r>
          </w:p>
        </w:tc>
        <w:tc>
          <w:tcPr>
            <w:tcW w:w="1551"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SY9005-WP</w:t>
            </w:r>
          </w:p>
        </w:tc>
        <w:tc>
          <w:tcPr>
            <w:tcW w:w="1551"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只</w:t>
            </w:r>
          </w:p>
        </w:tc>
        <w:tc>
          <w:tcPr>
            <w:tcW w:w="1551" w:type="dxa"/>
            <w:noWrap w:val="0"/>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549"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551"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112</w:t>
            </w:r>
          </w:p>
        </w:tc>
        <w:tc>
          <w:tcPr>
            <w:tcW w:w="2215"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演员监听音箱高音单元</w:t>
            </w:r>
          </w:p>
        </w:tc>
        <w:tc>
          <w:tcPr>
            <w:tcW w:w="1551"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SY8109</w:t>
            </w:r>
          </w:p>
        </w:tc>
        <w:tc>
          <w:tcPr>
            <w:tcW w:w="1551"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只</w:t>
            </w:r>
          </w:p>
        </w:tc>
        <w:tc>
          <w:tcPr>
            <w:tcW w:w="1551" w:type="dxa"/>
            <w:noWrap w:val="0"/>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549"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551"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113</w:t>
            </w:r>
          </w:p>
        </w:tc>
        <w:tc>
          <w:tcPr>
            <w:tcW w:w="2215"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演员监听音箱低音单元</w:t>
            </w:r>
          </w:p>
        </w:tc>
        <w:tc>
          <w:tcPr>
            <w:tcW w:w="1551"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SY8109</w:t>
            </w:r>
          </w:p>
        </w:tc>
        <w:tc>
          <w:tcPr>
            <w:tcW w:w="1551"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只</w:t>
            </w:r>
          </w:p>
        </w:tc>
        <w:tc>
          <w:tcPr>
            <w:tcW w:w="1551" w:type="dxa"/>
            <w:noWrap w:val="0"/>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549"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551"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114</w:t>
            </w:r>
          </w:p>
        </w:tc>
        <w:tc>
          <w:tcPr>
            <w:tcW w:w="2215"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超低特效音箱低音单元</w:t>
            </w:r>
          </w:p>
        </w:tc>
        <w:tc>
          <w:tcPr>
            <w:tcW w:w="1551"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SY1802SJZ-WP</w:t>
            </w:r>
          </w:p>
        </w:tc>
        <w:tc>
          <w:tcPr>
            <w:tcW w:w="1551"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只</w:t>
            </w:r>
          </w:p>
        </w:tc>
        <w:tc>
          <w:tcPr>
            <w:tcW w:w="1551" w:type="dxa"/>
            <w:noWrap w:val="0"/>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549"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551"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115</w:t>
            </w:r>
          </w:p>
        </w:tc>
        <w:tc>
          <w:tcPr>
            <w:tcW w:w="2215"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分频板</w:t>
            </w:r>
          </w:p>
        </w:tc>
        <w:tc>
          <w:tcPr>
            <w:tcW w:w="1551"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MC16</w:t>
            </w:r>
          </w:p>
        </w:tc>
        <w:tc>
          <w:tcPr>
            <w:tcW w:w="1551"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只</w:t>
            </w:r>
          </w:p>
        </w:tc>
        <w:tc>
          <w:tcPr>
            <w:tcW w:w="1551" w:type="dxa"/>
            <w:noWrap w:val="0"/>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549"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551"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116</w:t>
            </w:r>
          </w:p>
        </w:tc>
        <w:tc>
          <w:tcPr>
            <w:tcW w:w="2215"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功率放大器</w:t>
            </w:r>
          </w:p>
        </w:tc>
        <w:tc>
          <w:tcPr>
            <w:tcW w:w="1551"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MPA6000</w:t>
            </w:r>
          </w:p>
        </w:tc>
        <w:tc>
          <w:tcPr>
            <w:tcW w:w="1551"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台</w:t>
            </w:r>
          </w:p>
        </w:tc>
        <w:tc>
          <w:tcPr>
            <w:tcW w:w="1551" w:type="dxa"/>
            <w:noWrap w:val="0"/>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549"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551"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117</w:t>
            </w:r>
          </w:p>
        </w:tc>
        <w:tc>
          <w:tcPr>
            <w:tcW w:w="2215"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数字调音台</w:t>
            </w:r>
          </w:p>
        </w:tc>
        <w:tc>
          <w:tcPr>
            <w:tcW w:w="1551"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M-480</w:t>
            </w:r>
          </w:p>
        </w:tc>
        <w:tc>
          <w:tcPr>
            <w:tcW w:w="1551"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台</w:t>
            </w:r>
          </w:p>
        </w:tc>
        <w:tc>
          <w:tcPr>
            <w:tcW w:w="1551" w:type="dxa"/>
            <w:noWrap w:val="0"/>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549"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551"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118</w:t>
            </w:r>
          </w:p>
        </w:tc>
        <w:tc>
          <w:tcPr>
            <w:tcW w:w="2215"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数字接口箱</w:t>
            </w:r>
          </w:p>
        </w:tc>
        <w:tc>
          <w:tcPr>
            <w:tcW w:w="1551"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S1608</w:t>
            </w:r>
          </w:p>
        </w:tc>
        <w:tc>
          <w:tcPr>
            <w:tcW w:w="1551"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台</w:t>
            </w:r>
          </w:p>
        </w:tc>
        <w:tc>
          <w:tcPr>
            <w:tcW w:w="1551" w:type="dxa"/>
            <w:noWrap w:val="0"/>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549"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551"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119</w:t>
            </w:r>
          </w:p>
        </w:tc>
        <w:tc>
          <w:tcPr>
            <w:tcW w:w="2215"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音频前置分配器</w:t>
            </w:r>
          </w:p>
        </w:tc>
        <w:tc>
          <w:tcPr>
            <w:tcW w:w="1551"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M-Pro</w:t>
            </w:r>
          </w:p>
        </w:tc>
        <w:tc>
          <w:tcPr>
            <w:tcW w:w="1551"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台</w:t>
            </w:r>
          </w:p>
        </w:tc>
        <w:tc>
          <w:tcPr>
            <w:tcW w:w="1551" w:type="dxa"/>
            <w:noWrap w:val="0"/>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549"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551"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120</w:t>
            </w:r>
          </w:p>
        </w:tc>
        <w:tc>
          <w:tcPr>
            <w:tcW w:w="2215"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数字音箱处理器</w:t>
            </w:r>
          </w:p>
        </w:tc>
        <w:tc>
          <w:tcPr>
            <w:tcW w:w="1551"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MX408</w:t>
            </w:r>
          </w:p>
        </w:tc>
        <w:tc>
          <w:tcPr>
            <w:tcW w:w="1551"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台</w:t>
            </w:r>
          </w:p>
        </w:tc>
        <w:tc>
          <w:tcPr>
            <w:tcW w:w="1551" w:type="dxa"/>
            <w:noWrap w:val="0"/>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549"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551"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121</w:t>
            </w:r>
          </w:p>
        </w:tc>
        <w:tc>
          <w:tcPr>
            <w:tcW w:w="2215"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有源监听音箱</w:t>
            </w:r>
          </w:p>
        </w:tc>
        <w:tc>
          <w:tcPr>
            <w:tcW w:w="1551"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HR824</w:t>
            </w:r>
          </w:p>
        </w:tc>
        <w:tc>
          <w:tcPr>
            <w:tcW w:w="1551"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只</w:t>
            </w:r>
          </w:p>
        </w:tc>
        <w:tc>
          <w:tcPr>
            <w:tcW w:w="1551" w:type="dxa"/>
            <w:noWrap w:val="0"/>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549"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551"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122</w:t>
            </w:r>
          </w:p>
        </w:tc>
        <w:tc>
          <w:tcPr>
            <w:tcW w:w="2215"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监听耳机</w:t>
            </w:r>
          </w:p>
        </w:tc>
        <w:tc>
          <w:tcPr>
            <w:tcW w:w="1551"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K271</w:t>
            </w:r>
          </w:p>
        </w:tc>
        <w:tc>
          <w:tcPr>
            <w:tcW w:w="1551"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套</w:t>
            </w:r>
          </w:p>
        </w:tc>
        <w:tc>
          <w:tcPr>
            <w:tcW w:w="1551" w:type="dxa"/>
            <w:noWrap w:val="0"/>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549"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551"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123</w:t>
            </w:r>
          </w:p>
        </w:tc>
        <w:tc>
          <w:tcPr>
            <w:tcW w:w="2215"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时序电源</w:t>
            </w:r>
          </w:p>
        </w:tc>
        <w:tc>
          <w:tcPr>
            <w:tcW w:w="1551"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AC830</w:t>
            </w:r>
          </w:p>
        </w:tc>
        <w:tc>
          <w:tcPr>
            <w:tcW w:w="1551"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台</w:t>
            </w:r>
          </w:p>
        </w:tc>
        <w:tc>
          <w:tcPr>
            <w:tcW w:w="1551" w:type="dxa"/>
            <w:noWrap w:val="0"/>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549"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9968" w:type="dxa"/>
            <w:gridSpan w:val="6"/>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多媒体、机械控制系统部分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551"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124</w:t>
            </w:r>
          </w:p>
        </w:tc>
        <w:tc>
          <w:tcPr>
            <w:tcW w:w="2215"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投影冷却液</w:t>
            </w:r>
          </w:p>
        </w:tc>
        <w:tc>
          <w:tcPr>
            <w:tcW w:w="1551"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HUB35K</w:t>
            </w:r>
          </w:p>
        </w:tc>
        <w:tc>
          <w:tcPr>
            <w:tcW w:w="1551"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瓶</w:t>
            </w:r>
          </w:p>
        </w:tc>
        <w:tc>
          <w:tcPr>
            <w:tcW w:w="1551" w:type="dxa"/>
            <w:noWrap w:val="0"/>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549"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551"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125</w:t>
            </w:r>
          </w:p>
        </w:tc>
        <w:tc>
          <w:tcPr>
            <w:tcW w:w="2215"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投影灯泡</w:t>
            </w:r>
          </w:p>
        </w:tc>
        <w:tc>
          <w:tcPr>
            <w:tcW w:w="1551"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6000W(HD+35K)</w:t>
            </w:r>
          </w:p>
        </w:tc>
        <w:tc>
          <w:tcPr>
            <w:tcW w:w="1551"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只</w:t>
            </w:r>
          </w:p>
        </w:tc>
        <w:tc>
          <w:tcPr>
            <w:tcW w:w="1551" w:type="dxa"/>
            <w:noWrap w:val="0"/>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549"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551"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126</w:t>
            </w:r>
          </w:p>
        </w:tc>
        <w:tc>
          <w:tcPr>
            <w:tcW w:w="2215"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投影灯大反光碗</w:t>
            </w:r>
          </w:p>
        </w:tc>
        <w:tc>
          <w:tcPr>
            <w:tcW w:w="1551"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科视</w:t>
            </w:r>
          </w:p>
        </w:tc>
        <w:tc>
          <w:tcPr>
            <w:tcW w:w="1551"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只</w:t>
            </w:r>
          </w:p>
        </w:tc>
        <w:tc>
          <w:tcPr>
            <w:tcW w:w="1551" w:type="dxa"/>
            <w:noWrap w:val="0"/>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549"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551"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127</w:t>
            </w:r>
          </w:p>
        </w:tc>
        <w:tc>
          <w:tcPr>
            <w:tcW w:w="2215"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投影灯小反光碗</w:t>
            </w:r>
          </w:p>
        </w:tc>
        <w:tc>
          <w:tcPr>
            <w:tcW w:w="1551"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科视</w:t>
            </w:r>
          </w:p>
        </w:tc>
        <w:tc>
          <w:tcPr>
            <w:tcW w:w="1551"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只</w:t>
            </w:r>
          </w:p>
        </w:tc>
        <w:tc>
          <w:tcPr>
            <w:tcW w:w="1551" w:type="dxa"/>
            <w:noWrap w:val="0"/>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549"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551"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128</w:t>
            </w:r>
          </w:p>
        </w:tc>
        <w:tc>
          <w:tcPr>
            <w:tcW w:w="2215"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镜头清洗</w:t>
            </w:r>
          </w:p>
        </w:tc>
        <w:tc>
          <w:tcPr>
            <w:tcW w:w="1551"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专用机器</w:t>
            </w:r>
          </w:p>
        </w:tc>
        <w:tc>
          <w:tcPr>
            <w:tcW w:w="1551"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项</w:t>
            </w:r>
          </w:p>
        </w:tc>
        <w:tc>
          <w:tcPr>
            <w:tcW w:w="1551" w:type="dxa"/>
            <w:noWrap w:val="0"/>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549"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551"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129</w:t>
            </w:r>
          </w:p>
        </w:tc>
        <w:tc>
          <w:tcPr>
            <w:tcW w:w="2215"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发送接收卡</w:t>
            </w:r>
          </w:p>
        </w:tc>
        <w:tc>
          <w:tcPr>
            <w:tcW w:w="1551"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定制</w:t>
            </w:r>
          </w:p>
        </w:tc>
        <w:tc>
          <w:tcPr>
            <w:tcW w:w="1551"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套</w:t>
            </w:r>
          </w:p>
        </w:tc>
        <w:tc>
          <w:tcPr>
            <w:tcW w:w="1551" w:type="dxa"/>
            <w:noWrap w:val="0"/>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549"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551"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130</w:t>
            </w:r>
          </w:p>
        </w:tc>
        <w:tc>
          <w:tcPr>
            <w:tcW w:w="2215"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LED屏模块</w:t>
            </w:r>
          </w:p>
        </w:tc>
        <w:tc>
          <w:tcPr>
            <w:tcW w:w="1551"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防水</w:t>
            </w:r>
          </w:p>
        </w:tc>
        <w:tc>
          <w:tcPr>
            <w:tcW w:w="1551"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块</w:t>
            </w:r>
          </w:p>
        </w:tc>
        <w:tc>
          <w:tcPr>
            <w:tcW w:w="1551" w:type="dxa"/>
            <w:noWrap w:val="0"/>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549"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551"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131</w:t>
            </w:r>
          </w:p>
        </w:tc>
        <w:tc>
          <w:tcPr>
            <w:tcW w:w="2215"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16针排线</w:t>
            </w:r>
          </w:p>
        </w:tc>
        <w:tc>
          <w:tcPr>
            <w:tcW w:w="1551"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551"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条</w:t>
            </w:r>
          </w:p>
        </w:tc>
        <w:tc>
          <w:tcPr>
            <w:tcW w:w="1551" w:type="dxa"/>
            <w:noWrap w:val="0"/>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549"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551"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132</w:t>
            </w:r>
          </w:p>
        </w:tc>
        <w:tc>
          <w:tcPr>
            <w:tcW w:w="2215"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LED显示屏电源</w:t>
            </w:r>
          </w:p>
        </w:tc>
        <w:tc>
          <w:tcPr>
            <w:tcW w:w="1551"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2CH24/5V</w:t>
            </w:r>
          </w:p>
        </w:tc>
        <w:tc>
          <w:tcPr>
            <w:tcW w:w="1551"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只</w:t>
            </w:r>
          </w:p>
        </w:tc>
        <w:tc>
          <w:tcPr>
            <w:tcW w:w="1551" w:type="dxa"/>
            <w:noWrap w:val="0"/>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549"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551"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133</w:t>
            </w:r>
          </w:p>
        </w:tc>
        <w:tc>
          <w:tcPr>
            <w:tcW w:w="2215"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油压阀</w:t>
            </w:r>
          </w:p>
        </w:tc>
        <w:tc>
          <w:tcPr>
            <w:tcW w:w="1551"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BJ-60H</w:t>
            </w:r>
          </w:p>
        </w:tc>
        <w:tc>
          <w:tcPr>
            <w:tcW w:w="1551"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只</w:t>
            </w:r>
          </w:p>
        </w:tc>
        <w:tc>
          <w:tcPr>
            <w:tcW w:w="1551" w:type="dxa"/>
            <w:noWrap w:val="0"/>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549"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551"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134</w:t>
            </w:r>
          </w:p>
        </w:tc>
        <w:tc>
          <w:tcPr>
            <w:tcW w:w="2215"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机械PLC模块</w:t>
            </w:r>
          </w:p>
        </w:tc>
        <w:tc>
          <w:tcPr>
            <w:tcW w:w="1551"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PLC</w:t>
            </w:r>
          </w:p>
        </w:tc>
        <w:tc>
          <w:tcPr>
            <w:tcW w:w="1551"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套</w:t>
            </w:r>
          </w:p>
        </w:tc>
        <w:tc>
          <w:tcPr>
            <w:tcW w:w="1551" w:type="dxa"/>
            <w:noWrap w:val="0"/>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549"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含编程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551"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135</w:t>
            </w:r>
          </w:p>
        </w:tc>
        <w:tc>
          <w:tcPr>
            <w:tcW w:w="2215"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机械编码器</w:t>
            </w:r>
          </w:p>
        </w:tc>
        <w:tc>
          <w:tcPr>
            <w:tcW w:w="1551"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RV1024</w:t>
            </w:r>
          </w:p>
        </w:tc>
        <w:tc>
          <w:tcPr>
            <w:tcW w:w="1551"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台</w:t>
            </w:r>
          </w:p>
        </w:tc>
        <w:tc>
          <w:tcPr>
            <w:tcW w:w="1551" w:type="dxa"/>
            <w:noWrap w:val="0"/>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549"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含编程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551"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136</w:t>
            </w:r>
          </w:p>
        </w:tc>
        <w:tc>
          <w:tcPr>
            <w:tcW w:w="2215"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机械伺服变频器</w:t>
            </w:r>
          </w:p>
        </w:tc>
        <w:tc>
          <w:tcPr>
            <w:tcW w:w="1551"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380V</w:t>
            </w:r>
          </w:p>
        </w:tc>
        <w:tc>
          <w:tcPr>
            <w:tcW w:w="1551"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套</w:t>
            </w:r>
          </w:p>
        </w:tc>
        <w:tc>
          <w:tcPr>
            <w:tcW w:w="1551" w:type="dxa"/>
            <w:noWrap w:val="0"/>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549"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含编程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551"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137</w:t>
            </w:r>
          </w:p>
        </w:tc>
        <w:tc>
          <w:tcPr>
            <w:tcW w:w="2215"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控制通讯板卡</w:t>
            </w:r>
          </w:p>
        </w:tc>
        <w:tc>
          <w:tcPr>
            <w:tcW w:w="1551"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AA01</w:t>
            </w:r>
          </w:p>
        </w:tc>
        <w:tc>
          <w:tcPr>
            <w:tcW w:w="1551"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套</w:t>
            </w:r>
          </w:p>
        </w:tc>
        <w:tc>
          <w:tcPr>
            <w:tcW w:w="1551" w:type="dxa"/>
            <w:noWrap w:val="0"/>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549"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含编程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551"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138</w:t>
            </w:r>
          </w:p>
        </w:tc>
        <w:tc>
          <w:tcPr>
            <w:tcW w:w="2215"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网络信号模块</w:t>
            </w:r>
          </w:p>
        </w:tc>
        <w:tc>
          <w:tcPr>
            <w:tcW w:w="1551"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RS485</w:t>
            </w:r>
          </w:p>
        </w:tc>
        <w:tc>
          <w:tcPr>
            <w:tcW w:w="1551"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套</w:t>
            </w:r>
          </w:p>
        </w:tc>
        <w:tc>
          <w:tcPr>
            <w:tcW w:w="1551" w:type="dxa"/>
            <w:noWrap w:val="0"/>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549"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含编程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551"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139</w:t>
            </w:r>
          </w:p>
        </w:tc>
        <w:tc>
          <w:tcPr>
            <w:tcW w:w="2215"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软启动器</w:t>
            </w:r>
          </w:p>
        </w:tc>
        <w:tc>
          <w:tcPr>
            <w:tcW w:w="1551"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3RW30</w:t>
            </w:r>
          </w:p>
        </w:tc>
        <w:tc>
          <w:tcPr>
            <w:tcW w:w="1551"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套</w:t>
            </w:r>
          </w:p>
        </w:tc>
        <w:tc>
          <w:tcPr>
            <w:tcW w:w="1551" w:type="dxa"/>
            <w:noWrap w:val="0"/>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549"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551"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140</w:t>
            </w:r>
          </w:p>
        </w:tc>
        <w:tc>
          <w:tcPr>
            <w:tcW w:w="2215"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PLC变频电源</w:t>
            </w:r>
          </w:p>
        </w:tc>
        <w:tc>
          <w:tcPr>
            <w:tcW w:w="1551"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120W</w:t>
            </w:r>
          </w:p>
        </w:tc>
        <w:tc>
          <w:tcPr>
            <w:tcW w:w="1551"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台</w:t>
            </w:r>
          </w:p>
        </w:tc>
        <w:tc>
          <w:tcPr>
            <w:tcW w:w="1551" w:type="dxa"/>
            <w:noWrap w:val="0"/>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549"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551"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141</w:t>
            </w:r>
          </w:p>
        </w:tc>
        <w:tc>
          <w:tcPr>
            <w:tcW w:w="2215"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总线连接器</w:t>
            </w:r>
          </w:p>
        </w:tc>
        <w:tc>
          <w:tcPr>
            <w:tcW w:w="1551"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OBA41</w:t>
            </w:r>
          </w:p>
        </w:tc>
        <w:tc>
          <w:tcPr>
            <w:tcW w:w="1551"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套</w:t>
            </w:r>
          </w:p>
        </w:tc>
        <w:tc>
          <w:tcPr>
            <w:tcW w:w="1551" w:type="dxa"/>
            <w:noWrap w:val="0"/>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549"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551"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142</w:t>
            </w:r>
          </w:p>
        </w:tc>
        <w:tc>
          <w:tcPr>
            <w:tcW w:w="2215"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光纤冷接头</w:t>
            </w:r>
          </w:p>
        </w:tc>
        <w:tc>
          <w:tcPr>
            <w:tcW w:w="1551"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551"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只</w:t>
            </w:r>
          </w:p>
        </w:tc>
        <w:tc>
          <w:tcPr>
            <w:tcW w:w="1551" w:type="dxa"/>
            <w:noWrap w:val="0"/>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549"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9968" w:type="dxa"/>
            <w:gridSpan w:val="6"/>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r>
    </w:tbl>
    <w:p>
      <w:pPr>
        <w:autoSpaceDE w:val="0"/>
        <w:autoSpaceDN w:val="0"/>
        <w:spacing w:line="520" w:lineRule="exact"/>
        <w:rPr>
          <w:rFonts w:hint="eastAsia" w:ascii="宋体" w:hAnsi="宋体" w:cs="仿宋_GB2312"/>
          <w:color w:val="000000"/>
          <w:sz w:val="24"/>
        </w:rPr>
      </w:pPr>
    </w:p>
    <w:p>
      <w:pPr>
        <w:rPr>
          <w:rFonts w:hint="eastAsia" w:ascii="宋体" w:hAnsi="宋体"/>
          <w:b/>
          <w:szCs w:val="21"/>
        </w:rPr>
      </w:pPr>
    </w:p>
    <w:p>
      <w:pPr>
        <w:rPr>
          <w:rFonts w:ascii="宋体" w:hAnsi="宋体"/>
          <w:sz w:val="24"/>
        </w:rPr>
      </w:pPr>
      <w:r>
        <w:rPr>
          <w:rFonts w:hint="eastAsia" w:ascii="宋体" w:hAnsi="宋体"/>
          <w:sz w:val="24"/>
        </w:rPr>
        <w:t>响应供应商：                            （盖章）</w:t>
      </w:r>
    </w:p>
    <w:p>
      <w:pPr>
        <w:spacing w:line="400" w:lineRule="exact"/>
        <w:rPr>
          <w:rFonts w:ascii="宋体" w:hAnsi="宋体"/>
          <w:sz w:val="24"/>
        </w:rPr>
      </w:pPr>
      <w:r>
        <w:rPr>
          <w:rFonts w:hint="eastAsia" w:ascii="宋体" w:hAnsi="宋体"/>
          <w:sz w:val="24"/>
        </w:rPr>
        <w:t>法定代表人或委托代理人：            （签字或盖章）</w:t>
      </w:r>
    </w:p>
    <w:p>
      <w:pPr>
        <w:spacing w:line="400" w:lineRule="exact"/>
        <w:ind w:firstLine="5520" w:firstLineChars="2300"/>
        <w:rPr>
          <w:rFonts w:ascii="宋体" w:hAnsi="宋体"/>
          <w:sz w:val="24"/>
        </w:rPr>
      </w:pPr>
      <w:r>
        <w:rPr>
          <w:rFonts w:hint="eastAsia" w:ascii="宋体" w:hAnsi="宋体"/>
          <w:sz w:val="24"/>
        </w:rPr>
        <w:t>日期：    年    月    日</w:t>
      </w:r>
    </w:p>
    <w:p>
      <w:pPr>
        <w:rPr>
          <w:rFonts w:ascii="宋体" w:hAnsi="宋体" w:cs="宋体"/>
          <w:sz w:val="28"/>
          <w:szCs w:val="28"/>
        </w:rPr>
      </w:pPr>
    </w:p>
    <w:p>
      <w:pPr>
        <w:rPr>
          <w:rFonts w:ascii="宋体" w:hAnsi="宋体" w:cs="宋体"/>
          <w:sz w:val="28"/>
          <w:szCs w:val="28"/>
        </w:rPr>
      </w:pPr>
    </w:p>
    <w:p>
      <w:pPr>
        <w:spacing w:line="400" w:lineRule="exact"/>
        <w:ind w:firstLine="5520" w:firstLineChars="2300"/>
        <w:rPr>
          <w:rFonts w:ascii="宋体" w:hAnsi="宋体"/>
          <w:sz w:val="24"/>
        </w:rPr>
      </w:pPr>
    </w:p>
    <w:p>
      <w:pPr>
        <w:spacing w:line="500" w:lineRule="exact"/>
        <w:rPr>
          <w:rFonts w:ascii="宋体" w:hAnsi="宋体"/>
          <w:b/>
          <w:sz w:val="24"/>
        </w:rPr>
      </w:pPr>
    </w:p>
    <w:p>
      <w:pPr>
        <w:spacing w:line="500" w:lineRule="exact"/>
        <w:rPr>
          <w:rFonts w:ascii="宋体" w:hAnsi="宋体"/>
          <w:b/>
          <w:sz w:val="24"/>
        </w:rPr>
      </w:pPr>
    </w:p>
    <w:p>
      <w:pPr>
        <w:spacing w:line="500" w:lineRule="exact"/>
        <w:rPr>
          <w:rFonts w:ascii="宋体" w:hAnsi="宋体"/>
          <w:b/>
          <w:sz w:val="24"/>
        </w:rPr>
      </w:pPr>
    </w:p>
    <w:p>
      <w:pPr>
        <w:spacing w:line="500" w:lineRule="exact"/>
        <w:rPr>
          <w:rFonts w:ascii="宋体" w:hAnsi="宋体"/>
          <w:b/>
          <w:sz w:val="24"/>
        </w:rPr>
      </w:pPr>
      <w:r>
        <w:rPr>
          <w:rFonts w:hint="eastAsia" w:ascii="宋体" w:hAnsi="宋体"/>
          <w:b/>
          <w:sz w:val="24"/>
        </w:rPr>
        <w:t>附件四：资格证明文件和投标人基本情况</w:t>
      </w:r>
    </w:p>
    <w:p>
      <w:pPr>
        <w:spacing w:line="360" w:lineRule="auto"/>
        <w:ind w:firstLine="480" w:firstLineChars="200"/>
        <w:rPr>
          <w:rFonts w:ascii="宋体" w:hAnsi="宋体"/>
          <w:sz w:val="24"/>
        </w:rPr>
      </w:pPr>
      <w:r>
        <w:rPr>
          <w:rFonts w:hint="eastAsia" w:ascii="宋体" w:hAnsi="宋体"/>
          <w:sz w:val="24"/>
        </w:rPr>
        <w:t>（1）企业资质等级证书（复印件加盖公章）；</w:t>
      </w:r>
    </w:p>
    <w:p>
      <w:pPr>
        <w:spacing w:line="360" w:lineRule="auto"/>
        <w:ind w:left="540" w:leftChars="257"/>
        <w:rPr>
          <w:rFonts w:ascii="宋体" w:hAnsi="宋体"/>
          <w:sz w:val="24"/>
        </w:rPr>
      </w:pPr>
      <w:r>
        <w:rPr>
          <w:rFonts w:hint="eastAsia" w:ascii="宋体" w:hAnsi="宋体"/>
          <w:sz w:val="24"/>
        </w:rPr>
        <w:t>（2）企业工商营业执照、</w:t>
      </w:r>
      <w:r>
        <w:rPr>
          <w:rFonts w:hint="eastAsia" w:ascii="宋体" w:hAnsi="宋体"/>
          <w:bCs/>
          <w:sz w:val="24"/>
        </w:rPr>
        <w:t>税务登记证</w:t>
      </w:r>
      <w:r>
        <w:rPr>
          <w:rFonts w:hint="eastAsia" w:ascii="宋体" w:hAnsi="宋体"/>
          <w:sz w:val="24"/>
        </w:rPr>
        <w:t>（复印件加盖公章）；</w:t>
      </w:r>
    </w:p>
    <w:p>
      <w:pPr>
        <w:spacing w:line="360" w:lineRule="auto"/>
        <w:ind w:left="540" w:leftChars="257"/>
        <w:rPr>
          <w:rFonts w:ascii="宋体" w:hAnsi="宋体"/>
          <w:sz w:val="24"/>
        </w:rPr>
      </w:pPr>
      <w:r>
        <w:rPr>
          <w:rFonts w:hint="eastAsia" w:ascii="宋体" w:hAnsi="宋体"/>
          <w:sz w:val="24"/>
        </w:rPr>
        <w:t>（3）</w:t>
      </w:r>
      <w:r>
        <w:rPr>
          <w:rFonts w:hint="eastAsia" w:ascii="宋体" w:hAnsi="宋体"/>
          <w:bCs/>
          <w:sz w:val="24"/>
        </w:rPr>
        <w:t xml:space="preserve">法定代表人证书   </w:t>
      </w:r>
      <w:r>
        <w:rPr>
          <w:rFonts w:hint="eastAsia" w:ascii="宋体" w:hAnsi="宋体"/>
          <w:sz w:val="24"/>
        </w:rPr>
        <w:t>复印件</w:t>
      </w:r>
      <w:r>
        <w:rPr>
          <w:rFonts w:ascii="宋体" w:hAnsi="宋体"/>
          <w:sz w:val="24"/>
        </w:rPr>
        <w:t>(</w:t>
      </w:r>
      <w:r>
        <w:rPr>
          <w:rFonts w:hint="eastAsia" w:ascii="宋体" w:hAnsi="宋体"/>
          <w:sz w:val="24"/>
        </w:rPr>
        <w:t>加盖公章</w:t>
      </w:r>
      <w:r>
        <w:rPr>
          <w:rFonts w:ascii="宋体" w:hAnsi="宋体"/>
          <w:sz w:val="24"/>
        </w:rPr>
        <w:t>)</w:t>
      </w:r>
    </w:p>
    <w:p>
      <w:pPr>
        <w:spacing w:line="360" w:lineRule="auto"/>
        <w:ind w:left="540" w:leftChars="257"/>
        <w:rPr>
          <w:rFonts w:ascii="宋体" w:hAnsi="宋体"/>
          <w:sz w:val="24"/>
        </w:rPr>
      </w:pPr>
      <w:r>
        <w:rPr>
          <w:rFonts w:hint="eastAsia" w:ascii="宋体" w:hAnsi="宋体"/>
          <w:sz w:val="24"/>
        </w:rPr>
        <w:t>（4）</w:t>
      </w:r>
      <w:r>
        <w:rPr>
          <w:rFonts w:hint="eastAsia" w:ascii="宋体" w:hAnsi="宋体"/>
          <w:bCs/>
          <w:sz w:val="24"/>
        </w:rPr>
        <w:t xml:space="preserve">法定代表人授权书   </w:t>
      </w:r>
      <w:r>
        <w:rPr>
          <w:rFonts w:hint="eastAsia" w:ascii="宋体" w:hAnsi="宋体"/>
          <w:sz w:val="24"/>
        </w:rPr>
        <w:t>复印件</w:t>
      </w:r>
      <w:r>
        <w:rPr>
          <w:rFonts w:ascii="宋体" w:hAnsi="宋体"/>
          <w:sz w:val="24"/>
        </w:rPr>
        <w:t>(</w:t>
      </w:r>
      <w:r>
        <w:rPr>
          <w:rFonts w:hint="eastAsia" w:ascii="宋体" w:hAnsi="宋体"/>
          <w:sz w:val="24"/>
        </w:rPr>
        <w:t>加盖公章</w:t>
      </w:r>
      <w:r>
        <w:rPr>
          <w:rFonts w:ascii="宋体" w:hAnsi="宋体"/>
          <w:sz w:val="24"/>
        </w:rPr>
        <w:t>)</w:t>
      </w:r>
    </w:p>
    <w:p>
      <w:pPr>
        <w:spacing w:line="360" w:lineRule="auto"/>
        <w:ind w:left="540" w:leftChars="257"/>
        <w:rPr>
          <w:rFonts w:ascii="宋体" w:hAnsi="宋体"/>
          <w:sz w:val="24"/>
        </w:rPr>
      </w:pPr>
      <w:r>
        <w:rPr>
          <w:rFonts w:hint="eastAsia" w:ascii="宋体" w:hAnsi="宋体"/>
          <w:sz w:val="24"/>
        </w:rPr>
        <w:t>（5）本项目要求的相关资质、资格证书（复印件加盖公章）；</w:t>
      </w:r>
    </w:p>
    <w:p>
      <w:pPr>
        <w:spacing w:line="360" w:lineRule="auto"/>
        <w:ind w:left="540" w:leftChars="257"/>
        <w:rPr>
          <w:rFonts w:ascii="宋体" w:hAnsi="宋体"/>
          <w:sz w:val="24"/>
        </w:rPr>
      </w:pPr>
      <w:r>
        <w:rPr>
          <w:rFonts w:hint="eastAsia" w:ascii="宋体" w:hAnsi="宋体"/>
          <w:sz w:val="24"/>
        </w:rPr>
        <w:t>（6）响应供应商近两年来业绩及奖惩情况（复印件加盖公章）；</w:t>
      </w:r>
    </w:p>
    <w:p>
      <w:pPr>
        <w:spacing w:line="500" w:lineRule="exact"/>
        <w:rPr>
          <w:b/>
          <w:bCs/>
          <w:sz w:val="24"/>
        </w:rPr>
      </w:pPr>
      <w:bookmarkStart w:id="30" w:name="_Toc480020294"/>
      <w:bookmarkStart w:id="31" w:name="_Toc480010747"/>
      <w:bookmarkStart w:id="32" w:name="_Toc479991621"/>
      <w:bookmarkStart w:id="33" w:name="_Toc468606069"/>
      <w:bookmarkStart w:id="34" w:name="_Toc467236778"/>
      <w:bookmarkStart w:id="35" w:name="_Toc468157574"/>
      <w:bookmarkStart w:id="36" w:name="_Toc467987861"/>
      <w:bookmarkStart w:id="37" w:name="_Toc458262648"/>
      <w:bookmarkStart w:id="38" w:name="_Toc454701415"/>
      <w:bookmarkStart w:id="39" w:name="_Toc480171919"/>
      <w:bookmarkStart w:id="40" w:name="_Toc480021090"/>
    </w:p>
    <w:p>
      <w:pPr>
        <w:spacing w:line="500" w:lineRule="exact"/>
        <w:rPr>
          <w:b/>
          <w:bCs/>
          <w:sz w:val="24"/>
        </w:rPr>
      </w:pPr>
    </w:p>
    <w:p>
      <w:pPr>
        <w:spacing w:line="500" w:lineRule="exact"/>
        <w:rPr>
          <w:b/>
          <w:bCs/>
          <w:sz w:val="24"/>
        </w:rPr>
      </w:pPr>
    </w:p>
    <w:p>
      <w:pPr>
        <w:spacing w:line="500" w:lineRule="exact"/>
        <w:rPr>
          <w:b/>
          <w:bCs/>
          <w:sz w:val="24"/>
        </w:rPr>
      </w:pPr>
    </w:p>
    <w:p>
      <w:pPr>
        <w:spacing w:line="500" w:lineRule="exact"/>
        <w:rPr>
          <w:b/>
          <w:bCs/>
          <w:sz w:val="24"/>
        </w:rPr>
      </w:pPr>
    </w:p>
    <w:p>
      <w:pPr>
        <w:spacing w:line="500" w:lineRule="exact"/>
        <w:rPr>
          <w:b/>
          <w:bCs/>
          <w:sz w:val="24"/>
        </w:rPr>
      </w:pPr>
    </w:p>
    <w:p>
      <w:pPr>
        <w:spacing w:line="500" w:lineRule="exact"/>
        <w:rPr>
          <w:b/>
          <w:bCs/>
          <w:sz w:val="24"/>
        </w:rPr>
      </w:pPr>
    </w:p>
    <w:p>
      <w:pPr>
        <w:spacing w:line="500" w:lineRule="exact"/>
        <w:rPr>
          <w:b/>
          <w:bCs/>
          <w:sz w:val="24"/>
        </w:rPr>
      </w:pPr>
    </w:p>
    <w:p>
      <w:pPr>
        <w:spacing w:line="500" w:lineRule="exact"/>
        <w:rPr>
          <w:b/>
          <w:bCs/>
          <w:sz w:val="24"/>
        </w:rPr>
      </w:pPr>
    </w:p>
    <w:p>
      <w:pPr>
        <w:spacing w:line="500" w:lineRule="exact"/>
        <w:rPr>
          <w:b/>
          <w:bCs/>
          <w:sz w:val="24"/>
        </w:rPr>
      </w:pPr>
    </w:p>
    <w:p>
      <w:pPr>
        <w:spacing w:line="500" w:lineRule="exact"/>
        <w:rPr>
          <w:b/>
          <w:bCs/>
          <w:sz w:val="24"/>
        </w:rPr>
      </w:pPr>
    </w:p>
    <w:p>
      <w:pPr>
        <w:spacing w:line="500" w:lineRule="exact"/>
        <w:rPr>
          <w:b/>
          <w:bCs/>
          <w:sz w:val="24"/>
        </w:rPr>
      </w:pPr>
    </w:p>
    <w:p>
      <w:pPr>
        <w:spacing w:line="500" w:lineRule="exact"/>
        <w:rPr>
          <w:b/>
          <w:bCs/>
          <w:sz w:val="24"/>
        </w:rPr>
      </w:pPr>
    </w:p>
    <w:p>
      <w:pPr>
        <w:spacing w:line="500" w:lineRule="exact"/>
        <w:rPr>
          <w:b/>
          <w:bCs/>
          <w:sz w:val="24"/>
        </w:rPr>
      </w:pPr>
    </w:p>
    <w:p>
      <w:pPr>
        <w:spacing w:line="500" w:lineRule="exact"/>
        <w:rPr>
          <w:b/>
          <w:bCs/>
          <w:sz w:val="24"/>
        </w:rPr>
      </w:pPr>
    </w:p>
    <w:p>
      <w:pPr>
        <w:spacing w:line="500" w:lineRule="exact"/>
        <w:rPr>
          <w:b/>
          <w:bCs/>
          <w:sz w:val="24"/>
        </w:rPr>
      </w:pPr>
    </w:p>
    <w:p>
      <w:pPr>
        <w:spacing w:line="500" w:lineRule="exact"/>
        <w:rPr>
          <w:b/>
          <w:bCs/>
          <w:sz w:val="24"/>
        </w:rPr>
      </w:pPr>
    </w:p>
    <w:p>
      <w:pPr>
        <w:spacing w:line="500" w:lineRule="exact"/>
        <w:rPr>
          <w:b/>
          <w:bCs/>
          <w:sz w:val="24"/>
        </w:rPr>
      </w:pPr>
    </w:p>
    <w:p>
      <w:pPr>
        <w:spacing w:line="500" w:lineRule="exact"/>
        <w:rPr>
          <w:b/>
          <w:bCs/>
          <w:sz w:val="24"/>
        </w:rPr>
      </w:pPr>
    </w:p>
    <w:p>
      <w:pPr>
        <w:spacing w:line="500" w:lineRule="exact"/>
        <w:rPr>
          <w:b/>
          <w:bCs/>
          <w:sz w:val="24"/>
        </w:rPr>
      </w:pPr>
    </w:p>
    <w:p>
      <w:pPr>
        <w:spacing w:line="500" w:lineRule="exact"/>
        <w:rPr>
          <w:b/>
          <w:bCs/>
          <w:sz w:val="24"/>
        </w:rPr>
      </w:pPr>
      <w:r>
        <w:rPr>
          <w:rFonts w:hint="eastAsia"/>
          <w:b/>
          <w:bCs/>
          <w:sz w:val="24"/>
        </w:rPr>
        <w:t>附件五：</w:t>
      </w:r>
      <w:r>
        <w:rPr>
          <w:b/>
          <w:bCs/>
          <w:sz w:val="24"/>
        </w:rPr>
        <w:t xml:space="preserve"> </w:t>
      </w:r>
      <w:r>
        <w:rPr>
          <w:rFonts w:hint="eastAsia"/>
          <w:b/>
          <w:bCs/>
          <w:sz w:val="24"/>
        </w:rPr>
        <w:t>关于资格的声明函</w:t>
      </w:r>
      <w:bookmarkEnd w:id="30"/>
      <w:bookmarkEnd w:id="31"/>
      <w:bookmarkEnd w:id="32"/>
      <w:bookmarkEnd w:id="33"/>
      <w:bookmarkEnd w:id="34"/>
      <w:bookmarkEnd w:id="35"/>
      <w:bookmarkEnd w:id="36"/>
      <w:bookmarkEnd w:id="37"/>
      <w:bookmarkEnd w:id="38"/>
      <w:bookmarkEnd w:id="39"/>
      <w:bookmarkEnd w:id="40"/>
    </w:p>
    <w:p>
      <w:pPr>
        <w:spacing w:line="360" w:lineRule="auto"/>
        <w:ind w:left="540" w:leftChars="257"/>
        <w:rPr>
          <w:rFonts w:ascii="宋体" w:hAnsi="宋体"/>
          <w:sz w:val="24"/>
        </w:rPr>
      </w:pPr>
      <w:r>
        <w:rPr>
          <w:rFonts w:hint="eastAsia" w:ascii="宋体" w:hAnsi="宋体"/>
          <w:sz w:val="24"/>
        </w:rPr>
        <w:t>致：恩施大峡谷旅游开发有限公司采购中心：</w:t>
      </w:r>
    </w:p>
    <w:p>
      <w:pPr>
        <w:spacing w:line="360" w:lineRule="auto"/>
        <w:ind w:firstLine="480" w:firstLineChars="200"/>
        <w:rPr>
          <w:rFonts w:ascii="宋体" w:hAnsi="宋体"/>
          <w:sz w:val="24"/>
        </w:rPr>
      </w:pPr>
      <w:r>
        <w:rPr>
          <w:rFonts w:hint="eastAsia" w:ascii="宋体" w:hAnsi="宋体"/>
          <w:sz w:val="24"/>
        </w:rPr>
        <w:t>对于贵方</w:t>
      </w:r>
      <w:r>
        <w:rPr>
          <w:rFonts w:ascii="宋体" w:hAnsi="宋体"/>
          <w:sz w:val="24"/>
        </w:rPr>
        <w:t>201</w:t>
      </w:r>
      <w:r>
        <w:rPr>
          <w:rFonts w:hint="eastAsia" w:ascii="宋体" w:hAnsi="宋体"/>
          <w:sz w:val="24"/>
        </w:rPr>
        <w:t xml:space="preserve">9年   月  </w:t>
      </w:r>
      <w:r>
        <w:rPr>
          <w:rFonts w:hint="eastAsia" w:ascii="宋体" w:hAnsi="宋体"/>
          <w:color w:val="000000" w:themeColor="text1"/>
          <w:sz w:val="24"/>
          <w14:textFill>
            <w14:solidFill>
              <w14:schemeClr w14:val="tx1"/>
            </w14:solidFill>
          </w14:textFill>
        </w:rPr>
        <w:t xml:space="preserve"> 日</w:t>
      </w:r>
      <w:r>
        <w:rPr>
          <w:rFonts w:hint="eastAsia" w:ascii="宋体" w:hAnsi="宋体"/>
          <w:color w:val="000000" w:themeColor="text1"/>
          <w:sz w:val="24"/>
          <w:u w:val="single"/>
          <w14:textFill>
            <w14:solidFill>
              <w14:schemeClr w14:val="tx1"/>
            </w14:solidFill>
          </w14:textFill>
        </w:rPr>
        <w:t>DG2019-0</w:t>
      </w:r>
      <w:r>
        <w:rPr>
          <w:rFonts w:hint="eastAsia" w:ascii="宋体" w:hAnsi="宋体"/>
          <w:color w:val="000000" w:themeColor="text1"/>
          <w:sz w:val="24"/>
          <w:u w:val="single"/>
          <w:lang w:val="en-US" w:eastAsia="zh-CN"/>
          <w14:textFill>
            <w14:solidFill>
              <w14:schemeClr w14:val="tx1"/>
            </w14:solidFill>
          </w14:textFill>
        </w:rPr>
        <w:t>10</w:t>
      </w:r>
      <w:r>
        <w:rPr>
          <w:rFonts w:hint="eastAsia" w:ascii="宋体" w:hAnsi="宋体"/>
          <w:color w:val="000000" w:themeColor="text1"/>
          <w:sz w:val="24"/>
          <w14:textFill>
            <w14:solidFill>
              <w14:schemeClr w14:val="tx1"/>
            </w14:solidFill>
          </w14:textFill>
        </w:rPr>
        <w:t>号</w:t>
      </w:r>
      <w:r>
        <w:rPr>
          <w:rFonts w:hint="eastAsia" w:ascii="宋体" w:hAnsi="宋体"/>
          <w:sz w:val="24"/>
        </w:rPr>
        <w:t>（项目编号）的谈判邀请，本签字人愿意参加投标，并证明提交的下列文件以及相关说明是准确和真实的。</w:t>
      </w:r>
    </w:p>
    <w:p>
      <w:pPr>
        <w:numPr>
          <w:ilvl w:val="0"/>
          <w:numId w:val="5"/>
        </w:numPr>
        <w:spacing w:line="360" w:lineRule="auto"/>
        <w:ind w:left="540" w:leftChars="257" w:firstLine="0"/>
        <w:rPr>
          <w:rFonts w:ascii="宋体" w:hAnsi="宋体"/>
          <w:sz w:val="24"/>
        </w:rPr>
      </w:pPr>
      <w:r>
        <w:rPr>
          <w:rFonts w:hint="eastAsia" w:ascii="宋体" w:hAnsi="宋体"/>
          <w:sz w:val="24"/>
        </w:rPr>
        <w:t>由政府工商部门签发的我方工商营业执照正本复印件</w:t>
      </w:r>
      <w:r>
        <w:rPr>
          <w:rFonts w:ascii="宋体" w:hAnsi="宋体"/>
          <w:sz w:val="24"/>
        </w:rPr>
        <w:t>(</w:t>
      </w:r>
      <w:r>
        <w:rPr>
          <w:rFonts w:hint="eastAsia" w:ascii="宋体" w:hAnsi="宋体"/>
          <w:sz w:val="24"/>
        </w:rPr>
        <w:t>加盖公章</w:t>
      </w:r>
      <w:r>
        <w:rPr>
          <w:rFonts w:ascii="宋体" w:hAnsi="宋体"/>
          <w:sz w:val="24"/>
        </w:rPr>
        <w:t>)</w:t>
      </w:r>
      <w:r>
        <w:rPr>
          <w:rFonts w:hint="eastAsia" w:ascii="宋体" w:hAnsi="宋体"/>
          <w:sz w:val="24"/>
        </w:rPr>
        <w:t>一份。</w:t>
      </w:r>
    </w:p>
    <w:p>
      <w:pPr>
        <w:numPr>
          <w:ilvl w:val="0"/>
          <w:numId w:val="5"/>
        </w:numPr>
        <w:spacing w:line="360" w:lineRule="auto"/>
        <w:ind w:left="540" w:leftChars="257" w:firstLine="0"/>
        <w:rPr>
          <w:rFonts w:ascii="宋体" w:hAnsi="宋体"/>
          <w:sz w:val="24"/>
        </w:rPr>
      </w:pPr>
      <w:r>
        <w:rPr>
          <w:rFonts w:hint="eastAsia" w:ascii="宋体" w:hAnsi="宋体"/>
          <w:sz w:val="24"/>
        </w:rPr>
        <w:t>法人代码证副本复印件</w:t>
      </w:r>
      <w:r>
        <w:rPr>
          <w:rFonts w:ascii="宋体" w:hAnsi="宋体"/>
          <w:sz w:val="24"/>
        </w:rPr>
        <w:t>(</w:t>
      </w:r>
      <w:r>
        <w:rPr>
          <w:rFonts w:hint="eastAsia" w:ascii="宋体" w:hAnsi="宋体"/>
          <w:sz w:val="24"/>
        </w:rPr>
        <w:t>加盖公章</w:t>
      </w:r>
      <w:r>
        <w:rPr>
          <w:rFonts w:ascii="宋体" w:hAnsi="宋体"/>
          <w:sz w:val="24"/>
        </w:rPr>
        <w:t>)</w:t>
      </w:r>
      <w:r>
        <w:rPr>
          <w:rFonts w:hint="eastAsia" w:ascii="宋体" w:hAnsi="宋体"/>
          <w:sz w:val="24"/>
        </w:rPr>
        <w:t>一份和法定代表人资格证明书。</w:t>
      </w:r>
    </w:p>
    <w:p>
      <w:pPr>
        <w:numPr>
          <w:ilvl w:val="0"/>
          <w:numId w:val="5"/>
        </w:numPr>
        <w:spacing w:line="360" w:lineRule="auto"/>
        <w:ind w:left="540" w:leftChars="257" w:firstLine="0"/>
        <w:rPr>
          <w:rFonts w:ascii="宋体" w:hAnsi="宋体"/>
          <w:sz w:val="24"/>
        </w:rPr>
      </w:pPr>
      <w:r>
        <w:rPr>
          <w:rFonts w:hint="eastAsia" w:ascii="宋体" w:hAnsi="宋体"/>
          <w:sz w:val="24"/>
        </w:rPr>
        <w:t>法定代表人授权委托书。</w:t>
      </w:r>
    </w:p>
    <w:p>
      <w:pPr>
        <w:numPr>
          <w:ilvl w:val="0"/>
          <w:numId w:val="5"/>
        </w:numPr>
        <w:spacing w:line="360" w:lineRule="auto"/>
        <w:ind w:left="540" w:leftChars="257" w:firstLine="0"/>
        <w:rPr>
          <w:rFonts w:ascii="宋体" w:hAnsi="宋体"/>
          <w:sz w:val="24"/>
        </w:rPr>
      </w:pPr>
      <w:r>
        <w:rPr>
          <w:rFonts w:hint="eastAsia" w:ascii="宋体" w:hAnsi="宋体"/>
          <w:sz w:val="24"/>
        </w:rPr>
        <w:t>参与本谈判项目要求具有的相关资质证明。</w:t>
      </w:r>
    </w:p>
    <w:p>
      <w:pPr>
        <w:numPr>
          <w:ilvl w:val="0"/>
          <w:numId w:val="5"/>
        </w:numPr>
        <w:spacing w:line="360" w:lineRule="auto"/>
        <w:ind w:left="540" w:leftChars="257" w:firstLine="0"/>
        <w:rPr>
          <w:rFonts w:ascii="宋体" w:hAnsi="宋体"/>
          <w:sz w:val="24"/>
        </w:rPr>
      </w:pPr>
      <w:r>
        <w:rPr>
          <w:rFonts w:hint="eastAsia" w:ascii="宋体" w:hAnsi="宋体"/>
          <w:sz w:val="24"/>
        </w:rPr>
        <w:t>其它证明材料。</w:t>
      </w:r>
    </w:p>
    <w:p>
      <w:pPr>
        <w:spacing w:before="240" w:line="360" w:lineRule="auto"/>
        <w:ind w:left="540" w:leftChars="257"/>
        <w:rPr>
          <w:rFonts w:ascii="宋体" w:hAnsi="宋体"/>
          <w:sz w:val="24"/>
        </w:rPr>
      </w:pPr>
      <w:r>
        <w:rPr>
          <w:rFonts w:hint="eastAsia" w:ascii="宋体" w:hAnsi="宋体"/>
          <w:sz w:val="24"/>
        </w:rPr>
        <w:t>单位的名称和地址：</w:t>
      </w:r>
      <w:r>
        <w:rPr>
          <w:rFonts w:ascii="宋体" w:hAnsi="宋体"/>
          <w:sz w:val="24"/>
        </w:rPr>
        <w:t xml:space="preserve">                </w:t>
      </w:r>
      <w:r>
        <w:rPr>
          <w:rFonts w:hint="eastAsia" w:ascii="宋体" w:hAnsi="宋体"/>
          <w:sz w:val="24"/>
        </w:rPr>
        <w:t>受权签署本资格文件人：</w:t>
      </w:r>
    </w:p>
    <w:p>
      <w:pPr>
        <w:spacing w:line="360" w:lineRule="auto"/>
        <w:ind w:left="540" w:leftChars="257"/>
        <w:rPr>
          <w:rFonts w:ascii="宋体" w:hAnsi="宋体"/>
          <w:sz w:val="24"/>
        </w:rPr>
      </w:pPr>
      <w:r>
        <w:rPr>
          <w:rFonts w:hint="eastAsia" w:ascii="宋体" w:hAnsi="宋体"/>
          <w:sz w:val="24"/>
        </w:rPr>
        <w:t>名称：</w:t>
      </w:r>
      <w:r>
        <w:rPr>
          <w:rFonts w:ascii="宋体" w:hAnsi="宋体"/>
          <w:sz w:val="24"/>
          <w:u w:val="single"/>
        </w:rPr>
        <w:t xml:space="preserve">                </w:t>
      </w:r>
      <w:r>
        <w:rPr>
          <w:rFonts w:ascii="宋体" w:hAnsi="宋体"/>
          <w:sz w:val="24"/>
        </w:rPr>
        <w:t xml:space="preserve">      </w:t>
      </w:r>
      <w:r>
        <w:rPr>
          <w:rFonts w:hint="eastAsia" w:ascii="宋体" w:hAnsi="宋体"/>
          <w:sz w:val="24"/>
        </w:rPr>
        <w:t>签字：</w:t>
      </w:r>
      <w:r>
        <w:rPr>
          <w:rFonts w:ascii="宋体" w:hAnsi="宋体"/>
          <w:sz w:val="24"/>
          <w:u w:val="single"/>
        </w:rPr>
        <w:t xml:space="preserve">                 </w:t>
      </w:r>
    </w:p>
    <w:p>
      <w:pPr>
        <w:spacing w:line="360" w:lineRule="auto"/>
        <w:ind w:left="540" w:leftChars="257"/>
        <w:rPr>
          <w:rFonts w:ascii="宋体" w:hAnsi="宋体"/>
          <w:sz w:val="24"/>
        </w:rPr>
      </w:pPr>
      <w:r>
        <w:rPr>
          <w:rFonts w:hint="eastAsia" w:ascii="宋体" w:hAnsi="宋体"/>
          <w:sz w:val="24"/>
        </w:rPr>
        <w:t>地址：</w:t>
      </w:r>
      <w:r>
        <w:rPr>
          <w:rFonts w:ascii="宋体" w:hAnsi="宋体"/>
          <w:sz w:val="24"/>
          <w:u w:val="single"/>
        </w:rPr>
        <w:t xml:space="preserve">                </w:t>
      </w:r>
      <w:r>
        <w:rPr>
          <w:rFonts w:ascii="宋体" w:hAnsi="宋体"/>
          <w:sz w:val="24"/>
        </w:rPr>
        <w:t xml:space="preserve">      </w:t>
      </w:r>
      <w:r>
        <w:rPr>
          <w:rFonts w:hint="eastAsia" w:ascii="宋体" w:hAnsi="宋体"/>
          <w:sz w:val="24"/>
        </w:rPr>
        <w:t>签字人姓名、职务（印刷体）</w:t>
      </w:r>
    </w:p>
    <w:p>
      <w:pPr>
        <w:spacing w:line="360" w:lineRule="auto"/>
        <w:ind w:left="540" w:leftChars="257"/>
        <w:rPr>
          <w:rFonts w:ascii="宋体" w:hAnsi="宋体"/>
          <w:sz w:val="24"/>
          <w:u w:val="single"/>
        </w:rPr>
      </w:pPr>
      <w:r>
        <w:rPr>
          <w:rFonts w:hint="eastAsia" w:ascii="宋体" w:hAnsi="宋体"/>
          <w:sz w:val="24"/>
        </w:rPr>
        <w:t>传真：</w:t>
      </w:r>
      <w:r>
        <w:rPr>
          <w:rFonts w:ascii="宋体" w:hAnsi="宋体"/>
          <w:sz w:val="24"/>
          <w:u w:val="single"/>
        </w:rPr>
        <w:t xml:space="preserve">                </w:t>
      </w:r>
      <w:r>
        <w:rPr>
          <w:rFonts w:ascii="宋体" w:hAnsi="宋体"/>
          <w:sz w:val="24"/>
        </w:rPr>
        <w:t xml:space="preserve">       </w:t>
      </w:r>
      <w:r>
        <w:rPr>
          <w:rFonts w:ascii="宋体" w:hAnsi="宋体"/>
          <w:sz w:val="24"/>
          <w:u w:val="single"/>
        </w:rPr>
        <w:t xml:space="preserve">                        </w:t>
      </w:r>
    </w:p>
    <w:p>
      <w:pPr>
        <w:spacing w:line="360" w:lineRule="auto"/>
        <w:ind w:left="540" w:leftChars="257"/>
        <w:rPr>
          <w:rFonts w:ascii="宋体" w:hAnsi="宋体"/>
          <w:sz w:val="24"/>
        </w:rPr>
      </w:pPr>
      <w:r>
        <w:rPr>
          <w:rFonts w:hint="eastAsia"/>
        </w:rPr>
        <w:t>邮编：</w:t>
      </w:r>
      <w:r>
        <w:t xml:space="preserve">                      </w:t>
      </w:r>
      <w:r>
        <w:rPr>
          <w:rFonts w:hint="eastAsia"/>
        </w:rPr>
        <w:t>电话：</w:t>
      </w:r>
      <w:r>
        <w:t xml:space="preserve">                  </w:t>
      </w:r>
      <w:bookmarkStart w:id="41" w:name="_Toc479991622"/>
      <w:bookmarkStart w:id="42" w:name="_Toc468606070"/>
      <w:bookmarkStart w:id="43" w:name="_Toc468157575"/>
      <w:bookmarkStart w:id="44" w:name="_Toc458262649"/>
      <w:bookmarkStart w:id="45" w:name="_Toc467987862"/>
      <w:bookmarkStart w:id="46" w:name="_Toc467236779"/>
      <w:bookmarkStart w:id="47" w:name="_Toc454701416"/>
      <w:r>
        <w:rPr>
          <w:rFonts w:hint="eastAsia"/>
        </w:rPr>
        <w:t xml:space="preserve"> </w:t>
      </w:r>
      <w:bookmarkEnd w:id="41"/>
      <w:bookmarkEnd w:id="42"/>
      <w:bookmarkEnd w:id="43"/>
      <w:bookmarkEnd w:id="44"/>
      <w:bookmarkEnd w:id="45"/>
      <w:bookmarkEnd w:id="46"/>
      <w:bookmarkEnd w:id="47"/>
      <w:r>
        <w:br w:type="page"/>
      </w:r>
      <w:r>
        <w:rPr>
          <w:rFonts w:hint="eastAsia"/>
          <w:b/>
          <w:bCs/>
          <w:sz w:val="24"/>
        </w:rPr>
        <w:t>附件六： 法定代表人资格证明书</w:t>
      </w:r>
    </w:p>
    <w:p>
      <w:pPr>
        <w:autoSpaceDE w:val="0"/>
        <w:autoSpaceDN w:val="0"/>
        <w:adjustRightInd w:val="0"/>
        <w:spacing w:line="360" w:lineRule="auto"/>
        <w:ind w:left="540" w:leftChars="257"/>
        <w:jc w:val="left"/>
        <w:rPr>
          <w:rFonts w:ascii="宋体" w:hAnsi="宋体"/>
          <w:color w:val="000000"/>
          <w:kern w:val="0"/>
          <w:sz w:val="24"/>
          <w:u w:val="single"/>
        </w:rPr>
      </w:pPr>
      <w:r>
        <w:rPr>
          <w:rFonts w:hint="eastAsia" w:ascii="宋体" w:hAnsi="宋体"/>
          <w:color w:val="000000"/>
          <w:kern w:val="0"/>
          <w:sz w:val="24"/>
        </w:rPr>
        <w:t>单位名称：</w:t>
      </w:r>
      <w:r>
        <w:rPr>
          <w:rFonts w:hint="eastAsia" w:ascii="宋体" w:hAnsi="宋体"/>
          <w:color w:val="000000"/>
          <w:kern w:val="0"/>
          <w:sz w:val="24"/>
          <w:u w:val="single"/>
        </w:rPr>
        <w:t xml:space="preserve">                          </w:t>
      </w:r>
    </w:p>
    <w:p>
      <w:pPr>
        <w:autoSpaceDE w:val="0"/>
        <w:autoSpaceDN w:val="0"/>
        <w:adjustRightInd w:val="0"/>
        <w:spacing w:line="360" w:lineRule="auto"/>
        <w:ind w:left="540" w:leftChars="257"/>
        <w:jc w:val="left"/>
        <w:rPr>
          <w:rFonts w:ascii="宋体" w:hAnsi="宋体"/>
          <w:color w:val="000000"/>
          <w:kern w:val="0"/>
          <w:sz w:val="24"/>
          <w:u w:val="single"/>
        </w:rPr>
      </w:pPr>
      <w:r>
        <w:rPr>
          <w:rFonts w:hint="eastAsia" w:ascii="宋体" w:hAnsi="宋体"/>
          <w:color w:val="000000"/>
          <w:kern w:val="0"/>
          <w:sz w:val="24"/>
        </w:rPr>
        <w:t>地址：</w:t>
      </w:r>
      <w:r>
        <w:rPr>
          <w:rFonts w:hint="eastAsia" w:ascii="宋体" w:hAnsi="宋体"/>
          <w:color w:val="000000"/>
          <w:kern w:val="0"/>
          <w:sz w:val="24"/>
          <w:u w:val="single"/>
        </w:rPr>
        <w:t xml:space="preserve">                             </w:t>
      </w:r>
    </w:p>
    <w:p>
      <w:pPr>
        <w:autoSpaceDE w:val="0"/>
        <w:autoSpaceDN w:val="0"/>
        <w:adjustRightInd w:val="0"/>
        <w:spacing w:line="360" w:lineRule="auto"/>
        <w:ind w:left="540" w:leftChars="257"/>
        <w:jc w:val="left"/>
        <w:rPr>
          <w:rFonts w:ascii="宋体" w:hAnsi="宋体"/>
          <w:color w:val="000000"/>
          <w:kern w:val="0"/>
          <w:sz w:val="24"/>
          <w:u w:val="single"/>
        </w:rPr>
      </w:pPr>
      <w:r>
        <w:rPr>
          <w:rFonts w:hint="eastAsia" w:ascii="宋体" w:hAnsi="宋体"/>
          <w:color w:val="000000"/>
          <w:kern w:val="0"/>
          <w:sz w:val="24"/>
        </w:rPr>
        <w:t>姓名：</w:t>
      </w:r>
      <w:r>
        <w:rPr>
          <w:rFonts w:hint="eastAsia" w:ascii="宋体" w:hAnsi="宋体"/>
          <w:color w:val="000000"/>
          <w:kern w:val="0"/>
          <w:sz w:val="24"/>
          <w:u w:val="single"/>
        </w:rPr>
        <w:t xml:space="preserve">      </w:t>
      </w:r>
      <w:r>
        <w:rPr>
          <w:rFonts w:hint="eastAsia" w:ascii="宋体" w:hAnsi="宋体"/>
          <w:color w:val="000000"/>
          <w:kern w:val="0"/>
          <w:sz w:val="24"/>
        </w:rPr>
        <w:t xml:space="preserve"> 性别：</w:t>
      </w:r>
      <w:r>
        <w:rPr>
          <w:rFonts w:hint="eastAsia" w:ascii="宋体" w:hAnsi="宋体"/>
          <w:color w:val="000000"/>
          <w:kern w:val="0"/>
          <w:sz w:val="24"/>
          <w:u w:val="single"/>
        </w:rPr>
        <w:t xml:space="preserve">   </w:t>
      </w:r>
      <w:r>
        <w:rPr>
          <w:rFonts w:hint="eastAsia" w:ascii="宋体" w:hAnsi="宋体"/>
          <w:color w:val="000000"/>
          <w:kern w:val="0"/>
          <w:sz w:val="24"/>
        </w:rPr>
        <w:t xml:space="preserve"> 年龄：</w:t>
      </w:r>
      <w:r>
        <w:rPr>
          <w:rFonts w:hint="eastAsia" w:ascii="宋体" w:hAnsi="宋体"/>
          <w:color w:val="000000"/>
          <w:kern w:val="0"/>
          <w:sz w:val="24"/>
          <w:u w:val="single"/>
        </w:rPr>
        <w:t xml:space="preserve">    </w:t>
      </w:r>
      <w:r>
        <w:rPr>
          <w:rFonts w:hint="eastAsia" w:ascii="宋体" w:hAnsi="宋体"/>
          <w:color w:val="000000"/>
          <w:kern w:val="0"/>
          <w:sz w:val="24"/>
        </w:rPr>
        <w:t xml:space="preserve"> 职务：</w:t>
      </w:r>
      <w:r>
        <w:rPr>
          <w:rFonts w:hint="eastAsia" w:ascii="宋体" w:hAnsi="宋体"/>
          <w:color w:val="000000"/>
          <w:kern w:val="0"/>
          <w:sz w:val="24"/>
          <w:u w:val="single"/>
        </w:rPr>
        <w:t xml:space="preserve">        </w:t>
      </w:r>
    </w:p>
    <w:p>
      <w:pPr>
        <w:autoSpaceDE w:val="0"/>
        <w:autoSpaceDN w:val="0"/>
        <w:adjustRightInd w:val="0"/>
        <w:spacing w:line="360" w:lineRule="auto"/>
        <w:ind w:left="540" w:leftChars="257"/>
        <w:jc w:val="left"/>
        <w:rPr>
          <w:rFonts w:ascii="宋体" w:hAnsi="宋体"/>
          <w:color w:val="000000"/>
          <w:kern w:val="0"/>
          <w:sz w:val="24"/>
          <w:u w:val="single"/>
        </w:rPr>
      </w:pPr>
      <w:r>
        <w:rPr>
          <w:rFonts w:hint="eastAsia" w:ascii="宋体" w:hAnsi="宋体"/>
          <w:color w:val="000000"/>
          <w:kern w:val="0"/>
          <w:sz w:val="24"/>
        </w:rPr>
        <w:t>身份证号码：</w:t>
      </w:r>
      <w:r>
        <w:rPr>
          <w:rFonts w:hint="eastAsia" w:ascii="宋体" w:hAnsi="宋体"/>
          <w:color w:val="000000"/>
          <w:kern w:val="0"/>
          <w:sz w:val="24"/>
          <w:u w:val="single"/>
        </w:rPr>
        <w:t xml:space="preserve">                         </w:t>
      </w:r>
    </w:p>
    <w:p>
      <w:pPr>
        <w:autoSpaceDE w:val="0"/>
        <w:autoSpaceDN w:val="0"/>
        <w:adjustRightInd w:val="0"/>
        <w:spacing w:line="360" w:lineRule="auto"/>
        <w:ind w:left="540" w:leftChars="257"/>
        <w:jc w:val="left"/>
        <w:rPr>
          <w:rFonts w:ascii="宋体" w:hAnsi="宋体"/>
          <w:color w:val="000000"/>
          <w:kern w:val="0"/>
          <w:sz w:val="24"/>
        </w:rPr>
      </w:pPr>
      <w:r>
        <w:rPr>
          <w:rFonts w:hint="eastAsia" w:ascii="宋体" w:hAnsi="宋体"/>
          <w:color w:val="000000"/>
          <w:kern w:val="0"/>
          <w:sz w:val="24"/>
        </w:rPr>
        <w:t>系</w:t>
      </w:r>
      <w:r>
        <w:rPr>
          <w:rFonts w:hint="eastAsia" w:ascii="宋体" w:hAnsi="宋体"/>
          <w:color w:val="000000"/>
          <w:kern w:val="0"/>
          <w:sz w:val="24"/>
          <w:u w:val="single"/>
        </w:rPr>
        <w:t xml:space="preserve">                 </w:t>
      </w:r>
      <w:r>
        <w:rPr>
          <w:rFonts w:hint="eastAsia" w:ascii="宋体" w:hAnsi="宋体"/>
          <w:color w:val="000000"/>
          <w:kern w:val="0"/>
          <w:sz w:val="24"/>
        </w:rPr>
        <w:t>的法定代表人。为</w:t>
      </w:r>
      <w:r>
        <w:rPr>
          <w:rFonts w:hint="eastAsia" w:ascii="宋体" w:hAnsi="宋体"/>
          <w:color w:val="000000"/>
          <w:kern w:val="0"/>
          <w:sz w:val="24"/>
          <w:u w:val="single"/>
        </w:rPr>
        <w:t xml:space="preserve">（项目名称）         </w:t>
      </w:r>
      <w:r>
        <w:rPr>
          <w:rFonts w:hint="eastAsia" w:ascii="宋体" w:hAnsi="宋体"/>
          <w:color w:val="000000"/>
          <w:kern w:val="0"/>
          <w:sz w:val="24"/>
        </w:rPr>
        <w:t>项目，签署上述项目的谈判响应文件、进行合同谈判、签署合同和处理与之有关的一切事务。</w:t>
      </w:r>
    </w:p>
    <w:p>
      <w:pPr>
        <w:autoSpaceDE w:val="0"/>
        <w:autoSpaceDN w:val="0"/>
        <w:adjustRightInd w:val="0"/>
        <w:spacing w:line="360" w:lineRule="auto"/>
        <w:ind w:left="540" w:leftChars="257"/>
        <w:jc w:val="left"/>
        <w:rPr>
          <w:rFonts w:ascii="宋体" w:hAnsi="宋体"/>
          <w:color w:val="000000"/>
          <w:kern w:val="0"/>
          <w:sz w:val="24"/>
        </w:rPr>
      </w:pPr>
      <w:r>
        <w:rPr>
          <w:rFonts w:hint="eastAsia" w:ascii="宋体" w:hAnsi="宋体"/>
          <w:color w:val="000000"/>
          <w:kern w:val="0"/>
          <w:sz w:val="24"/>
        </w:rPr>
        <w:t>特此证明。</w:t>
      </w:r>
    </w:p>
    <w:p>
      <w:pPr>
        <w:autoSpaceDE w:val="0"/>
        <w:autoSpaceDN w:val="0"/>
        <w:adjustRightInd w:val="0"/>
        <w:spacing w:line="360" w:lineRule="auto"/>
        <w:ind w:left="540" w:leftChars="257"/>
        <w:jc w:val="left"/>
        <w:rPr>
          <w:rFonts w:ascii="宋体" w:hAnsi="宋体"/>
          <w:color w:val="000000"/>
          <w:kern w:val="0"/>
          <w:sz w:val="24"/>
        </w:rPr>
      </w:pPr>
    </w:p>
    <w:p>
      <w:pPr>
        <w:autoSpaceDE w:val="0"/>
        <w:autoSpaceDN w:val="0"/>
        <w:adjustRightInd w:val="0"/>
        <w:spacing w:line="360" w:lineRule="auto"/>
        <w:ind w:left="540" w:leftChars="257"/>
        <w:jc w:val="left"/>
        <w:rPr>
          <w:rFonts w:ascii="宋体" w:hAnsi="宋体"/>
          <w:color w:val="000000"/>
          <w:kern w:val="0"/>
          <w:sz w:val="24"/>
        </w:rPr>
      </w:pPr>
      <w:r>
        <w:rPr>
          <w:rFonts w:hint="eastAsia" w:ascii="宋体" w:hAnsi="宋体"/>
          <w:color w:val="000000"/>
          <w:kern w:val="0"/>
          <w:sz w:val="24"/>
        </w:rPr>
        <w:t xml:space="preserve">投标单位：（盖章）             </w:t>
      </w:r>
    </w:p>
    <w:p>
      <w:pPr>
        <w:autoSpaceDE w:val="0"/>
        <w:autoSpaceDN w:val="0"/>
        <w:adjustRightInd w:val="0"/>
        <w:spacing w:line="360" w:lineRule="auto"/>
        <w:ind w:left="540" w:leftChars="257"/>
        <w:jc w:val="left"/>
        <w:rPr>
          <w:kern w:val="0"/>
        </w:rPr>
      </w:pPr>
      <w:r>
        <w:rPr>
          <w:rFonts w:hint="eastAsia"/>
          <w:kern w:val="0"/>
        </w:rPr>
        <w:t>日期：</w:t>
      </w:r>
      <w:r>
        <w:rPr>
          <w:rFonts w:hint="eastAsia"/>
          <w:kern w:val="0"/>
          <w:u w:val="single"/>
        </w:rPr>
        <w:t xml:space="preserve">        </w:t>
      </w:r>
      <w:r>
        <w:rPr>
          <w:rFonts w:hint="eastAsia"/>
          <w:kern w:val="0"/>
        </w:rPr>
        <w:t>年</w:t>
      </w:r>
      <w:r>
        <w:rPr>
          <w:rFonts w:hint="eastAsia"/>
          <w:kern w:val="0"/>
          <w:u w:val="single"/>
        </w:rPr>
        <w:t xml:space="preserve">    </w:t>
      </w:r>
      <w:r>
        <w:rPr>
          <w:rFonts w:hint="eastAsia"/>
          <w:kern w:val="0"/>
        </w:rPr>
        <w:t>月</w:t>
      </w:r>
      <w:r>
        <w:rPr>
          <w:rFonts w:hint="eastAsia"/>
          <w:kern w:val="0"/>
          <w:u w:val="single"/>
        </w:rPr>
        <w:t xml:space="preserve">    </w:t>
      </w:r>
      <w:r>
        <w:rPr>
          <w:rFonts w:hint="eastAsia"/>
          <w:kern w:val="0"/>
        </w:rPr>
        <w:t>日   日期：</w:t>
      </w:r>
      <w:r>
        <w:rPr>
          <w:rFonts w:hint="eastAsia"/>
          <w:kern w:val="0"/>
          <w:u w:val="single"/>
        </w:rPr>
        <w:t xml:space="preserve">     </w:t>
      </w:r>
      <w:r>
        <w:rPr>
          <w:rFonts w:hint="eastAsia"/>
          <w:kern w:val="0"/>
        </w:rPr>
        <w:t>年</w:t>
      </w:r>
      <w:r>
        <w:rPr>
          <w:rFonts w:hint="eastAsia"/>
          <w:kern w:val="0"/>
          <w:u w:val="single"/>
        </w:rPr>
        <w:t xml:space="preserve">   </w:t>
      </w:r>
      <w:r>
        <w:rPr>
          <w:rFonts w:hint="eastAsia"/>
          <w:kern w:val="0"/>
        </w:rPr>
        <w:t>月</w:t>
      </w:r>
      <w:r>
        <w:rPr>
          <w:rFonts w:hint="eastAsia"/>
          <w:kern w:val="0"/>
          <w:u w:val="single"/>
        </w:rPr>
        <w:t xml:space="preserve">   </w:t>
      </w:r>
      <w:r>
        <w:rPr>
          <w:rFonts w:hint="eastAsia"/>
          <w:kern w:val="0"/>
        </w:rPr>
        <w:t>日</w:t>
      </w:r>
    </w:p>
    <w:p>
      <w:pPr>
        <w:autoSpaceDE w:val="0"/>
        <w:autoSpaceDN w:val="0"/>
        <w:adjustRightInd w:val="0"/>
        <w:spacing w:line="360" w:lineRule="auto"/>
        <w:jc w:val="left"/>
        <w:rPr>
          <w:rFonts w:ascii="宋体" w:hAnsi="宋体"/>
          <w:color w:val="000000"/>
          <w:kern w:val="0"/>
          <w:sz w:val="24"/>
          <w:u w:val="single"/>
        </w:rPr>
      </w:pPr>
      <w:r>
        <w:rPr>
          <w:kern w:val="0"/>
        </w:rPr>
        <w:br w:type="page"/>
      </w:r>
      <w:r>
        <w:rPr>
          <w:rFonts w:hint="eastAsia"/>
          <w:b/>
          <w:bCs/>
          <w:sz w:val="24"/>
        </w:rPr>
        <w:t>附件七： 法定代表人授权委托书</w:t>
      </w:r>
    </w:p>
    <w:p>
      <w:pPr>
        <w:autoSpaceDE w:val="0"/>
        <w:autoSpaceDN w:val="0"/>
        <w:adjustRightInd w:val="0"/>
        <w:spacing w:line="360" w:lineRule="auto"/>
        <w:ind w:left="540" w:leftChars="257" w:firstLine="480" w:firstLineChars="200"/>
        <w:rPr>
          <w:rFonts w:ascii="宋体" w:hAnsi="宋体"/>
          <w:color w:val="000000"/>
          <w:kern w:val="0"/>
          <w:sz w:val="24"/>
        </w:rPr>
      </w:pPr>
      <w:r>
        <w:rPr>
          <w:rFonts w:hint="eastAsia" w:ascii="宋体" w:hAnsi="宋体"/>
          <w:color w:val="000000"/>
          <w:kern w:val="0"/>
          <w:sz w:val="24"/>
        </w:rPr>
        <w:t>本授权委托书声明：我</w:t>
      </w:r>
      <w:r>
        <w:rPr>
          <w:rFonts w:hint="eastAsia" w:ascii="宋体" w:hAnsi="宋体"/>
          <w:color w:val="000000"/>
          <w:kern w:val="0"/>
          <w:sz w:val="24"/>
          <w:u w:val="single"/>
        </w:rPr>
        <w:t xml:space="preserve">       </w:t>
      </w:r>
      <w:r>
        <w:rPr>
          <w:rFonts w:hint="eastAsia" w:ascii="宋体" w:hAnsi="宋体"/>
          <w:color w:val="000000"/>
          <w:kern w:val="0"/>
          <w:sz w:val="24"/>
        </w:rPr>
        <w:t>（姓名）系</w:t>
      </w:r>
      <w:r>
        <w:rPr>
          <w:rFonts w:hint="eastAsia" w:ascii="宋体" w:hAnsi="宋体"/>
          <w:color w:val="000000"/>
          <w:kern w:val="0"/>
          <w:sz w:val="24"/>
          <w:u w:val="single"/>
        </w:rPr>
        <w:t xml:space="preserve">       </w:t>
      </w:r>
      <w:r>
        <w:rPr>
          <w:rFonts w:hint="eastAsia" w:ascii="宋体" w:hAnsi="宋体"/>
          <w:color w:val="000000"/>
          <w:kern w:val="0"/>
          <w:sz w:val="24"/>
        </w:rPr>
        <w:t>（响应供应商名称）的法定代表人，现授权委托</w:t>
      </w:r>
      <w:r>
        <w:rPr>
          <w:rFonts w:hint="eastAsia" w:ascii="宋体" w:hAnsi="宋体"/>
          <w:color w:val="000000"/>
          <w:kern w:val="0"/>
          <w:sz w:val="24"/>
          <w:u w:val="single"/>
        </w:rPr>
        <w:t xml:space="preserve">              </w:t>
      </w:r>
      <w:r>
        <w:rPr>
          <w:rFonts w:hint="eastAsia" w:ascii="宋体" w:hAnsi="宋体"/>
          <w:color w:val="000000"/>
          <w:kern w:val="0"/>
          <w:sz w:val="24"/>
        </w:rPr>
        <w:t>（响应供应商名称）的</w:t>
      </w:r>
      <w:r>
        <w:rPr>
          <w:rFonts w:hint="eastAsia" w:ascii="宋体" w:hAnsi="宋体"/>
          <w:color w:val="000000"/>
          <w:kern w:val="0"/>
          <w:sz w:val="24"/>
          <w:u w:val="single"/>
        </w:rPr>
        <w:t xml:space="preserve">           </w:t>
      </w:r>
      <w:r>
        <w:rPr>
          <w:rFonts w:hint="eastAsia" w:ascii="宋体" w:hAnsi="宋体"/>
          <w:color w:val="000000"/>
          <w:kern w:val="0"/>
          <w:sz w:val="24"/>
        </w:rPr>
        <w:t>（姓名）为我公司代理人，以本公司的名义参加</w:t>
      </w:r>
      <w:r>
        <w:rPr>
          <w:rFonts w:hint="eastAsia" w:ascii="宋体" w:hAnsi="宋体"/>
          <w:color w:val="000000"/>
          <w:kern w:val="0"/>
          <w:sz w:val="24"/>
          <w:u w:val="single"/>
        </w:rPr>
        <w:t xml:space="preserve">  恩施大峡谷旅游开发有限公司采购中心 </w:t>
      </w:r>
      <w:r>
        <w:rPr>
          <w:rFonts w:hint="eastAsia" w:ascii="宋体" w:hAnsi="宋体"/>
          <w:color w:val="000000"/>
          <w:kern w:val="0"/>
          <w:sz w:val="24"/>
        </w:rPr>
        <w:t>（谈判代理单位）的</w:t>
      </w:r>
      <w:r>
        <w:rPr>
          <w:rFonts w:hint="eastAsia" w:ascii="宋体" w:hAnsi="宋体"/>
          <w:color w:val="000000"/>
          <w:kern w:val="0"/>
          <w:sz w:val="24"/>
          <w:u w:val="single"/>
        </w:rPr>
        <w:t xml:space="preserve">           （项目名称）</w:t>
      </w:r>
      <w:r>
        <w:rPr>
          <w:rFonts w:hint="eastAsia" w:ascii="宋体" w:hAnsi="宋体"/>
          <w:color w:val="000000"/>
          <w:kern w:val="0"/>
          <w:sz w:val="24"/>
        </w:rPr>
        <w:t>竞争性谈判项目的投标活动。被授权代理人在谈判响应文件送达、谈判、合同签定过程中所签署的一切文件和处理与之有关的一切事务，我均予以承认。</w:t>
      </w:r>
    </w:p>
    <w:p>
      <w:pPr>
        <w:autoSpaceDE w:val="0"/>
        <w:autoSpaceDN w:val="0"/>
        <w:adjustRightInd w:val="0"/>
        <w:spacing w:line="360" w:lineRule="auto"/>
        <w:ind w:left="540" w:leftChars="257" w:firstLine="360" w:firstLineChars="150"/>
        <w:jc w:val="left"/>
        <w:rPr>
          <w:rFonts w:ascii="宋体" w:hAnsi="宋体"/>
          <w:color w:val="000000"/>
          <w:kern w:val="0"/>
          <w:sz w:val="24"/>
        </w:rPr>
      </w:pPr>
      <w:r>
        <w:rPr>
          <w:rFonts w:hint="eastAsia" w:ascii="宋体" w:hAnsi="宋体"/>
          <w:color w:val="000000"/>
          <w:kern w:val="0"/>
          <w:sz w:val="24"/>
        </w:rPr>
        <w:t>代理人无转委权。</w:t>
      </w:r>
    </w:p>
    <w:p>
      <w:pPr>
        <w:autoSpaceDE w:val="0"/>
        <w:autoSpaceDN w:val="0"/>
        <w:adjustRightInd w:val="0"/>
        <w:spacing w:line="360" w:lineRule="auto"/>
        <w:ind w:left="540" w:leftChars="257" w:firstLine="360" w:firstLineChars="150"/>
        <w:jc w:val="left"/>
        <w:rPr>
          <w:rFonts w:ascii="宋体" w:hAnsi="宋体"/>
          <w:color w:val="000000"/>
          <w:kern w:val="0"/>
          <w:sz w:val="24"/>
        </w:rPr>
      </w:pPr>
      <w:r>
        <w:rPr>
          <w:rFonts w:hint="eastAsia" w:ascii="宋体" w:hAnsi="宋体"/>
          <w:color w:val="000000"/>
          <w:kern w:val="0"/>
          <w:sz w:val="24"/>
        </w:rPr>
        <w:t>特此委托。</w:t>
      </w:r>
    </w:p>
    <w:p>
      <w:pPr>
        <w:autoSpaceDE w:val="0"/>
        <w:autoSpaceDN w:val="0"/>
        <w:adjustRightInd w:val="0"/>
        <w:spacing w:line="360" w:lineRule="auto"/>
        <w:ind w:left="540" w:leftChars="257"/>
        <w:jc w:val="left"/>
        <w:rPr>
          <w:rFonts w:ascii="宋体" w:hAnsi="宋体"/>
          <w:color w:val="000000"/>
          <w:kern w:val="0"/>
          <w:sz w:val="24"/>
          <w:u w:val="single"/>
        </w:rPr>
      </w:pPr>
      <w:r>
        <w:rPr>
          <w:rFonts w:hint="eastAsia" w:ascii="宋体" w:hAnsi="宋体"/>
          <w:color w:val="000000"/>
          <w:kern w:val="0"/>
          <w:sz w:val="24"/>
        </w:rPr>
        <w:t>代理人：</w:t>
      </w:r>
      <w:r>
        <w:rPr>
          <w:rFonts w:hint="eastAsia" w:ascii="宋体" w:hAnsi="宋体"/>
          <w:color w:val="000000"/>
          <w:kern w:val="0"/>
          <w:sz w:val="24"/>
          <w:u w:val="single"/>
        </w:rPr>
        <w:t xml:space="preserve">         </w:t>
      </w:r>
      <w:r>
        <w:rPr>
          <w:rFonts w:hint="eastAsia" w:ascii="宋体" w:hAnsi="宋体"/>
          <w:color w:val="000000"/>
          <w:kern w:val="0"/>
          <w:sz w:val="24"/>
        </w:rPr>
        <w:t>性别：</w:t>
      </w:r>
      <w:r>
        <w:rPr>
          <w:rFonts w:hint="eastAsia" w:ascii="宋体" w:hAnsi="宋体"/>
          <w:color w:val="000000"/>
          <w:kern w:val="0"/>
          <w:sz w:val="24"/>
          <w:u w:val="single"/>
        </w:rPr>
        <w:t xml:space="preserve">      </w:t>
      </w:r>
      <w:r>
        <w:rPr>
          <w:rFonts w:hint="eastAsia" w:ascii="宋体" w:hAnsi="宋体"/>
          <w:color w:val="000000"/>
          <w:kern w:val="0"/>
          <w:sz w:val="24"/>
        </w:rPr>
        <w:t>年龄：</w:t>
      </w:r>
      <w:r>
        <w:rPr>
          <w:rFonts w:hint="eastAsia" w:ascii="宋体" w:hAnsi="宋体"/>
          <w:color w:val="000000"/>
          <w:kern w:val="0"/>
          <w:sz w:val="24"/>
          <w:u w:val="single"/>
        </w:rPr>
        <w:t xml:space="preserve">           </w:t>
      </w:r>
    </w:p>
    <w:p>
      <w:pPr>
        <w:autoSpaceDE w:val="0"/>
        <w:autoSpaceDN w:val="0"/>
        <w:adjustRightInd w:val="0"/>
        <w:spacing w:line="360" w:lineRule="auto"/>
        <w:ind w:left="540" w:leftChars="257"/>
        <w:jc w:val="left"/>
        <w:rPr>
          <w:rFonts w:ascii="宋体" w:hAnsi="宋体"/>
          <w:color w:val="000000"/>
          <w:kern w:val="0"/>
          <w:sz w:val="24"/>
          <w:u w:val="single"/>
        </w:rPr>
      </w:pPr>
      <w:r>
        <w:rPr>
          <w:rFonts w:hint="eastAsia" w:ascii="宋体" w:hAnsi="宋体"/>
          <w:color w:val="000000"/>
          <w:kern w:val="0"/>
          <w:sz w:val="24"/>
        </w:rPr>
        <w:t>单位：</w:t>
      </w:r>
      <w:r>
        <w:rPr>
          <w:rFonts w:hint="eastAsia" w:ascii="宋体" w:hAnsi="宋体"/>
          <w:color w:val="000000"/>
          <w:kern w:val="0"/>
          <w:sz w:val="24"/>
          <w:u w:val="single"/>
        </w:rPr>
        <w:t xml:space="preserve">           </w:t>
      </w:r>
      <w:r>
        <w:rPr>
          <w:rFonts w:hint="eastAsia" w:ascii="宋体" w:hAnsi="宋体"/>
          <w:color w:val="000000"/>
          <w:kern w:val="0"/>
          <w:sz w:val="24"/>
        </w:rPr>
        <w:t>部门：</w:t>
      </w:r>
      <w:r>
        <w:rPr>
          <w:rFonts w:hint="eastAsia" w:ascii="宋体" w:hAnsi="宋体"/>
          <w:color w:val="000000"/>
          <w:kern w:val="0"/>
          <w:sz w:val="24"/>
          <w:u w:val="single"/>
        </w:rPr>
        <w:t xml:space="preserve">       </w:t>
      </w:r>
      <w:r>
        <w:rPr>
          <w:rFonts w:hint="eastAsia" w:ascii="宋体" w:hAnsi="宋体"/>
          <w:color w:val="000000"/>
          <w:kern w:val="0"/>
          <w:sz w:val="24"/>
        </w:rPr>
        <w:t>职务：</w:t>
      </w:r>
      <w:r>
        <w:rPr>
          <w:rFonts w:hint="eastAsia" w:ascii="宋体" w:hAnsi="宋体"/>
          <w:color w:val="000000"/>
          <w:kern w:val="0"/>
          <w:sz w:val="24"/>
          <w:u w:val="single"/>
        </w:rPr>
        <w:t xml:space="preserve">           </w:t>
      </w:r>
    </w:p>
    <w:p>
      <w:pPr>
        <w:autoSpaceDE w:val="0"/>
        <w:autoSpaceDN w:val="0"/>
        <w:adjustRightInd w:val="0"/>
        <w:spacing w:line="360" w:lineRule="auto"/>
        <w:ind w:left="540" w:leftChars="257"/>
        <w:jc w:val="left"/>
        <w:rPr>
          <w:rFonts w:ascii="宋体" w:hAnsi="宋体"/>
          <w:color w:val="000000"/>
          <w:kern w:val="0"/>
          <w:sz w:val="24"/>
          <w:u w:val="single"/>
        </w:rPr>
      </w:pPr>
      <w:r>
        <w:rPr>
          <w:rFonts w:hint="eastAsia" w:ascii="宋体" w:hAnsi="宋体"/>
          <w:color w:val="000000"/>
          <w:kern w:val="0"/>
          <w:sz w:val="24"/>
        </w:rPr>
        <w:t>响应供应商：（盖章）：</w:t>
      </w:r>
      <w:r>
        <w:rPr>
          <w:rFonts w:hint="eastAsia" w:ascii="宋体" w:hAnsi="宋体"/>
          <w:color w:val="000000"/>
          <w:kern w:val="0"/>
          <w:sz w:val="24"/>
          <w:u w:val="single"/>
        </w:rPr>
        <w:t xml:space="preserve">                           </w:t>
      </w:r>
    </w:p>
    <w:p>
      <w:pPr>
        <w:autoSpaceDE w:val="0"/>
        <w:autoSpaceDN w:val="0"/>
        <w:adjustRightInd w:val="0"/>
        <w:spacing w:line="360" w:lineRule="auto"/>
        <w:ind w:left="540" w:leftChars="257"/>
        <w:jc w:val="left"/>
        <w:rPr>
          <w:rFonts w:ascii="宋体" w:hAnsi="宋体"/>
          <w:color w:val="000000"/>
          <w:kern w:val="0"/>
          <w:sz w:val="24"/>
          <w:u w:val="single"/>
        </w:rPr>
      </w:pPr>
      <w:r>
        <w:rPr>
          <w:rFonts w:hint="eastAsia" w:ascii="宋体" w:hAnsi="宋体"/>
          <w:color w:val="000000"/>
          <w:kern w:val="0"/>
          <w:sz w:val="24"/>
        </w:rPr>
        <w:t>法定代表人：（签字、盖章）：</w:t>
      </w:r>
      <w:r>
        <w:rPr>
          <w:rFonts w:hint="eastAsia" w:ascii="宋体" w:hAnsi="宋体"/>
          <w:color w:val="000000"/>
          <w:kern w:val="0"/>
          <w:sz w:val="24"/>
          <w:u w:val="single"/>
        </w:rPr>
        <w:t xml:space="preserve">                   </w:t>
      </w:r>
    </w:p>
    <w:p>
      <w:pPr>
        <w:autoSpaceDE w:val="0"/>
        <w:autoSpaceDN w:val="0"/>
        <w:adjustRightInd w:val="0"/>
        <w:spacing w:line="360" w:lineRule="auto"/>
        <w:ind w:left="540" w:leftChars="257"/>
        <w:jc w:val="left"/>
        <w:rPr>
          <w:rFonts w:ascii="宋体" w:hAnsi="宋体"/>
          <w:color w:val="000000"/>
          <w:kern w:val="0"/>
          <w:sz w:val="24"/>
        </w:rPr>
      </w:pPr>
    </w:p>
    <w:p>
      <w:pPr>
        <w:autoSpaceDE w:val="0"/>
        <w:autoSpaceDN w:val="0"/>
        <w:adjustRightInd w:val="0"/>
        <w:spacing w:line="360" w:lineRule="auto"/>
        <w:ind w:left="540" w:leftChars="257"/>
        <w:jc w:val="center"/>
        <w:rPr>
          <w:kern w:val="0"/>
        </w:rPr>
      </w:pPr>
      <w:r>
        <w:rPr>
          <w:rFonts w:hint="eastAsia"/>
          <w:kern w:val="0"/>
        </w:rPr>
        <w:t>日期：</w:t>
      </w:r>
      <w:r>
        <w:rPr>
          <w:rFonts w:hint="eastAsia"/>
          <w:kern w:val="0"/>
          <w:u w:val="single"/>
        </w:rPr>
        <w:t xml:space="preserve">     </w:t>
      </w:r>
      <w:r>
        <w:rPr>
          <w:rFonts w:hint="eastAsia"/>
          <w:kern w:val="0"/>
        </w:rPr>
        <w:t>年</w:t>
      </w:r>
      <w:r>
        <w:rPr>
          <w:rFonts w:hint="eastAsia"/>
          <w:kern w:val="0"/>
          <w:u w:val="single"/>
        </w:rPr>
        <w:t xml:space="preserve">    </w:t>
      </w:r>
      <w:r>
        <w:rPr>
          <w:rFonts w:hint="eastAsia"/>
          <w:kern w:val="0"/>
        </w:rPr>
        <w:t>月</w:t>
      </w:r>
      <w:r>
        <w:rPr>
          <w:rFonts w:hint="eastAsia"/>
          <w:kern w:val="0"/>
          <w:u w:val="single"/>
        </w:rPr>
        <w:t xml:space="preserve">    </w:t>
      </w:r>
      <w:r>
        <w:rPr>
          <w:rFonts w:hint="eastAsia"/>
          <w:kern w:val="0"/>
        </w:rPr>
        <w:t>日</w:t>
      </w:r>
    </w:p>
    <w:p/>
    <w:p/>
    <w:p/>
    <w:p/>
    <w:p/>
    <w:p/>
    <w:p/>
    <w:p/>
    <w:p/>
    <w:p/>
    <w:p/>
    <w:p/>
    <w:p/>
    <w:p/>
    <w:sectPr>
      <w:headerReference r:id="rId4" w:type="first"/>
      <w:headerReference r:id="rId3" w:type="default"/>
      <w:footerReference r:id="rId5" w:type="default"/>
      <w:footerReference r:id="rId6" w:type="even"/>
      <w:pgSz w:w="11907" w:h="16840"/>
      <w:pgMar w:top="1024" w:right="1215" w:bottom="1433" w:left="878" w:header="851" w:footer="992" w:gutter="454"/>
      <w:cols w:space="720" w:num="1"/>
      <w:docGrid w:type="lines" w:linePitch="410" w:charSpace="-61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幼圆">
    <w:panose1 w:val="0201050906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华文楷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208" w:h="230" w:hRule="exact" w:wrap="around" w:vAnchor="text" w:hAnchor="page" w:x="5833" w:y="-89"/>
      <w:jc w:val="right"/>
      <w:rPr>
        <w:rStyle w:val="21"/>
      </w:rPr>
    </w:pPr>
    <w:r>
      <w:fldChar w:fldCharType="begin"/>
    </w:r>
    <w:r>
      <w:rPr>
        <w:rStyle w:val="21"/>
      </w:rPr>
      <w:instrText xml:space="preserve">PAGE  </w:instrText>
    </w:r>
    <w:r>
      <w:fldChar w:fldCharType="separate"/>
    </w:r>
    <w:r>
      <w:rPr>
        <w:rStyle w:val="21"/>
      </w:rPr>
      <w:t>25</w:t>
    </w:r>
    <w:r>
      <w:fldChar w:fldCharType="end"/>
    </w:r>
  </w:p>
  <w:p>
    <w:pPr>
      <w:pStyle w:val="13"/>
      <w:ind w:right="360"/>
      <w:jc w:val="center"/>
      <w:rPr>
        <w:rStyle w:val="21"/>
      </w:rPr>
    </w:pPr>
    <w:r>
      <w:rPr>
        <w:color w:val="999999"/>
        <w:sz w:val="20"/>
      </w:rPr>
      <mc:AlternateContent>
        <mc:Choice Requires="wps">
          <w:drawing>
            <wp:anchor distT="0" distB="0" distL="0" distR="0" simplePos="0" relativeHeight="1024" behindDoc="0" locked="0" layoutInCell="1" allowOverlap="1">
              <wp:simplePos x="0" y="0"/>
              <wp:positionH relativeFrom="column">
                <wp:posOffset>0</wp:posOffset>
              </wp:positionH>
              <wp:positionV relativeFrom="paragraph">
                <wp:posOffset>-66675</wp:posOffset>
              </wp:positionV>
              <wp:extent cx="5429250" cy="0"/>
              <wp:effectExtent l="0" t="0" r="0" b="0"/>
              <wp:wrapNone/>
              <wp:docPr id="4097" name="Line 1"/>
              <wp:cNvGraphicFramePr/>
              <a:graphic xmlns:a="http://schemas.openxmlformats.org/drawingml/2006/main">
                <a:graphicData uri="http://schemas.microsoft.com/office/word/2010/wordprocessingShape">
                  <wps:wsp>
                    <wps:cNvCnPr/>
                    <wps:spPr>
                      <a:xfrm>
                        <a:off x="0" y="0"/>
                        <a:ext cx="5429250" cy="0"/>
                      </a:xfrm>
                      <a:prstGeom prst="line">
                        <a:avLst/>
                      </a:prstGeom>
                      <a:ln w="9525" cap="flat" cmpd="sng">
                        <a:solidFill>
                          <a:srgbClr val="000000"/>
                        </a:solidFill>
                        <a:prstDash val="solid"/>
                        <a:round/>
                        <a:headEnd type="none" w="med" len="med"/>
                        <a:tailEnd type="none" w="med" len="med"/>
                      </a:ln>
                    </wps:spPr>
                    <wps:bodyPr/>
                  </wps:wsp>
                </a:graphicData>
              </a:graphic>
            </wp:anchor>
          </w:drawing>
        </mc:Choice>
        <mc:Fallback>
          <w:pict>
            <v:line id="Line 1" o:spid="_x0000_s1026" o:spt="20" style="position:absolute;left:0pt;margin-left:0pt;margin-top:-5.25pt;height:0pt;width:427.5pt;z-index:1024;mso-width-relative:page;mso-height-relative:page;" filled="f" stroked="t" coordsize="21600,21600" o:gfxdata="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wPaI+tQAAAAIAQAADwAAAAAAAAABACAAAAAiAAAAZHJzL2Rvd25yZXYueG1sUEsB&#10;AhQAFAAAAAgAh07iQM4gmxLAAQAAjAMAAA4AAAAAAAAAAQAgAAAAIwEAAGRycy9lMm9Eb2MueG1s&#10;UEsFBgAAAAAGAAYAWQEAAFUFAAAAAA==&#10;">
              <v:fill on="f" focussize="0,0"/>
              <v:stroke color="#000000" joinstyle="round"/>
              <v:imagedata o:title=""/>
              <o:lock v:ext="edit" aspectratio="f"/>
            </v:lin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right" w:y="1"/>
      <w:rPr>
        <w:rStyle w:val="21"/>
      </w:rPr>
    </w:pPr>
    <w:r>
      <w:fldChar w:fldCharType="begin"/>
    </w:r>
    <w:r>
      <w:rPr>
        <w:rStyle w:val="21"/>
      </w:rPr>
      <w:instrText xml:space="preserve">PAGE  </w:instrText>
    </w:r>
    <w:r>
      <w:fldChar w:fldCharType="separate"/>
    </w:r>
    <w:r>
      <w:rPr>
        <w:rStyle w:val="21"/>
      </w:rPr>
      <w:t>1</w:t>
    </w:r>
    <w:r>
      <w:fldChar w:fldCharType="end"/>
    </w:r>
  </w:p>
  <w:p>
    <w:pPr>
      <w:pStyle w:val="1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left="180" w:hanging="180" w:hangingChars="100"/>
      <w:jc w:val="both"/>
    </w:pPr>
    <w:r>
      <w:rPr>
        <w:rFonts w:hint="eastAsia"/>
      </w:rPr>
      <w:t xml:space="preserve">龙船调设备定点采购竞争性谈判文件                                             </w:t>
    </w:r>
    <w:r>
      <w:rPr>
        <w:rFonts w:hint="eastAsia"/>
        <w:bCs/>
        <w:color w:val="000000"/>
        <w:szCs w:val="18"/>
      </w:rPr>
      <w:t>DG2019-010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both"/>
      <w:rPr>
        <w:b/>
        <w:bCs/>
      </w:rPr>
    </w:pPr>
    <w:r>
      <w:rPr>
        <w:rFonts w:hint="eastAsia"/>
        <w:b/>
      </w:rPr>
      <w:t xml:space="preserve">   株洲市政府采购中心        株洲市教育局                         </w:t>
    </w:r>
    <w:r>
      <w:rPr>
        <w:rFonts w:hint="eastAsia"/>
        <w:b/>
        <w:bCs/>
      </w:rPr>
      <w:t xml:space="preserve">  谈判文件</w:t>
    </w:r>
    <w:r>
      <w:rPr>
        <w:b/>
        <w:bCs/>
      </w:rPr>
      <w:t xml:space="preserve">              </w:t>
    </w:r>
    <w:r>
      <w:rPr>
        <w:rFonts w:hint="eastAsia"/>
        <w:b/>
        <w:bCs/>
      </w:rPr>
      <w:t>(</w:t>
    </w:r>
    <w:r>
      <w:rPr>
        <w:b/>
        <w:bCs/>
      </w:rPr>
      <w:t>200</w:t>
    </w:r>
    <w:r>
      <w:rPr>
        <w:rFonts w:hint="eastAsia"/>
        <w:b/>
        <w:bCs/>
      </w:rPr>
      <w:t>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tentative="0">
      <w:start w:val="1"/>
      <w:numFmt w:val="chineseCounting"/>
      <w:suff w:val="nothing"/>
      <w:lvlText w:val="%1、"/>
      <w:lvlJc w:val="left"/>
      <w:rPr>
        <w:rFonts w:hint="eastAsia"/>
      </w:rPr>
    </w:lvl>
  </w:abstractNum>
  <w:abstractNum w:abstractNumId="1">
    <w:nsid w:val="00000002"/>
    <w:multiLevelType w:val="singleLevel"/>
    <w:tmpl w:val="00000002"/>
    <w:lvl w:ilvl="0" w:tentative="0">
      <w:start w:val="1"/>
      <w:numFmt w:val="chineseCounting"/>
      <w:suff w:val="nothing"/>
      <w:lvlText w:val="%1、"/>
      <w:lvlJc w:val="left"/>
      <w:rPr>
        <w:rFonts w:hint="eastAsia"/>
      </w:rPr>
    </w:lvl>
  </w:abstractNum>
  <w:abstractNum w:abstractNumId="2">
    <w:nsid w:val="00000003"/>
    <w:multiLevelType w:val="singleLevel"/>
    <w:tmpl w:val="00000003"/>
    <w:lvl w:ilvl="0" w:tentative="0">
      <w:start w:val="1"/>
      <w:numFmt w:val="lowerLetter"/>
      <w:lvlText w:val="%1、"/>
      <w:lvlJc w:val="left"/>
      <w:pPr>
        <w:tabs>
          <w:tab w:val="left" w:pos="1260"/>
        </w:tabs>
        <w:ind w:left="1260" w:hanging="720"/>
      </w:pPr>
      <w:rPr>
        <w:rFonts w:hint="eastAsia"/>
      </w:rPr>
    </w:lvl>
  </w:abstractNum>
  <w:abstractNum w:abstractNumId="3">
    <w:nsid w:val="00000004"/>
    <w:multiLevelType w:val="singleLevel"/>
    <w:tmpl w:val="00000004"/>
    <w:lvl w:ilvl="0" w:tentative="0">
      <w:start w:val="1"/>
      <w:numFmt w:val="decimal"/>
      <w:lvlText w:val="%1、"/>
      <w:lvlJc w:val="left"/>
      <w:pPr>
        <w:ind w:left="990" w:hanging="420"/>
      </w:pPr>
      <w:rPr>
        <w:rFonts w:hint="eastAsia" w:ascii="宋体" w:eastAsia="宋体"/>
        <w:b w:val="0"/>
        <w:i w:val="0"/>
        <w:sz w:val="28"/>
        <w:u w:val="none"/>
      </w:rPr>
    </w:lvl>
  </w:abstractNum>
  <w:abstractNum w:abstractNumId="4">
    <w:nsid w:val="0053208E"/>
    <w:multiLevelType w:val="multilevel"/>
    <w:tmpl w:val="0053208E"/>
    <w:lvl w:ilvl="0" w:tentative="0">
      <w:start w:val="1"/>
      <w:numFmt w:val="decimal"/>
      <w:isLgl/>
      <w:lvlText w:val="%1."/>
      <w:lvlJc w:val="left"/>
      <w:pPr>
        <w:tabs>
          <w:tab w:val="left" w:pos="587"/>
        </w:tabs>
        <w:ind w:left="425" w:hanging="198"/>
      </w:pPr>
      <w:rPr>
        <w:rFonts w:hint="eastAsia"/>
        <w:b/>
        <w:sz w:val="30"/>
        <w:szCs w:val="30"/>
      </w:rPr>
    </w:lvl>
    <w:lvl w:ilvl="1" w:tentative="0">
      <w:start w:val="1"/>
      <w:numFmt w:val="decimal"/>
      <w:lvlText w:val="%1.%2."/>
      <w:lvlJc w:val="left"/>
      <w:pPr>
        <w:tabs>
          <w:tab w:val="left" w:pos="1077"/>
        </w:tabs>
        <w:ind w:left="1077" w:hanging="793"/>
      </w:pPr>
      <w:rPr>
        <w:rFonts w:hint="eastAsia" w:ascii="宋体" w:hAnsi="宋体" w:eastAsia="宋体"/>
        <w:b w:val="0"/>
        <w:sz w:val="24"/>
        <w:szCs w:val="24"/>
      </w:rPr>
    </w:lvl>
    <w:lvl w:ilvl="2" w:tentative="0">
      <w:start w:val="1"/>
      <w:numFmt w:val="decimal"/>
      <w:lvlText w:val="%1.%2.%3."/>
      <w:lvlJc w:val="left"/>
      <w:pPr>
        <w:tabs>
          <w:tab w:val="left" w:pos="1364"/>
        </w:tabs>
        <w:ind w:left="737" w:hanging="453"/>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216A"/>
    <w:rsid w:val="000B63FB"/>
    <w:rsid w:val="00D0216A"/>
    <w:rsid w:val="00E21BE7"/>
    <w:rsid w:val="039D23D9"/>
    <w:rsid w:val="3D372811"/>
    <w:rsid w:val="41482AFD"/>
    <w:rsid w:val="532D73F7"/>
    <w:rsid w:val="6D6B1F46"/>
    <w:rsid w:val="7A23610F"/>
    <w:rsid w:val="7A8045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autoSpaceDE w:val="0"/>
      <w:autoSpaceDN w:val="0"/>
      <w:adjustRightInd w:val="0"/>
      <w:spacing w:before="340" w:after="330" w:line="578" w:lineRule="auto"/>
      <w:jc w:val="left"/>
      <w:textAlignment w:val="baseline"/>
      <w:outlineLvl w:val="0"/>
    </w:pPr>
    <w:rPr>
      <w:rFonts w:ascii="宋体"/>
      <w:b/>
      <w:kern w:val="44"/>
      <w:sz w:val="44"/>
      <w:szCs w:val="20"/>
    </w:rPr>
  </w:style>
  <w:style w:type="paragraph" w:styleId="3">
    <w:name w:val="heading 2"/>
    <w:basedOn w:val="1"/>
    <w:next w:val="4"/>
    <w:qFormat/>
    <w:uiPriority w:val="0"/>
    <w:pPr>
      <w:keepNext/>
      <w:keepLines/>
      <w:autoSpaceDE w:val="0"/>
      <w:autoSpaceDN w:val="0"/>
      <w:adjustRightInd w:val="0"/>
      <w:spacing w:before="260" w:after="260" w:line="416" w:lineRule="auto"/>
      <w:jc w:val="left"/>
      <w:textAlignment w:val="baseline"/>
      <w:outlineLvl w:val="1"/>
    </w:pPr>
    <w:rPr>
      <w:rFonts w:ascii="仿宋_GB2312" w:hAnsi="Arial" w:eastAsia="仿宋_GB2312"/>
      <w:b/>
      <w:kern w:val="0"/>
      <w:sz w:val="32"/>
      <w:szCs w:val="20"/>
    </w:rPr>
  </w:style>
  <w:style w:type="paragraph" w:styleId="5">
    <w:name w:val="heading 3"/>
    <w:basedOn w:val="1"/>
    <w:next w:val="4"/>
    <w:qFormat/>
    <w:uiPriority w:val="0"/>
    <w:pPr>
      <w:keepNext/>
      <w:keepLines/>
      <w:autoSpaceDE w:val="0"/>
      <w:autoSpaceDN w:val="0"/>
      <w:adjustRightInd w:val="0"/>
      <w:spacing w:before="260" w:after="260" w:line="416" w:lineRule="auto"/>
      <w:jc w:val="left"/>
      <w:textAlignment w:val="baseline"/>
      <w:outlineLvl w:val="2"/>
    </w:pPr>
    <w:rPr>
      <w:rFonts w:ascii="宋体"/>
      <w:b/>
      <w:kern w:val="0"/>
      <w:sz w:val="32"/>
      <w:szCs w:val="20"/>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Layout w:type="fixed"/>
      <w:tblCellMar>
        <w:top w:w="0" w:type="dxa"/>
        <w:left w:w="108" w:type="dxa"/>
        <w:bottom w:w="0" w:type="dxa"/>
        <w:right w:w="108" w:type="dxa"/>
      </w:tblCellMar>
    </w:tblPr>
  </w:style>
  <w:style w:type="paragraph" w:styleId="4">
    <w:name w:val="Normal Indent"/>
    <w:basedOn w:val="1"/>
    <w:qFormat/>
    <w:uiPriority w:val="0"/>
    <w:pPr>
      <w:autoSpaceDE w:val="0"/>
      <w:autoSpaceDN w:val="0"/>
      <w:adjustRightInd w:val="0"/>
      <w:ind w:firstLine="420"/>
      <w:jc w:val="left"/>
      <w:textAlignment w:val="baseline"/>
    </w:pPr>
    <w:rPr>
      <w:rFonts w:ascii="宋体"/>
      <w:kern w:val="0"/>
      <w:sz w:val="34"/>
      <w:szCs w:val="20"/>
    </w:rPr>
  </w:style>
  <w:style w:type="paragraph" w:styleId="6">
    <w:name w:val="Body Text 3"/>
    <w:basedOn w:val="1"/>
    <w:qFormat/>
    <w:uiPriority w:val="0"/>
    <w:pPr>
      <w:spacing w:after="120"/>
    </w:pPr>
    <w:rPr>
      <w:sz w:val="16"/>
      <w:szCs w:val="16"/>
    </w:rPr>
  </w:style>
  <w:style w:type="paragraph" w:styleId="7">
    <w:name w:val="Body Text"/>
    <w:basedOn w:val="1"/>
    <w:qFormat/>
    <w:uiPriority w:val="0"/>
    <w:pPr>
      <w:spacing w:line="360" w:lineRule="auto"/>
    </w:pPr>
    <w:rPr>
      <w:rFonts w:ascii="仿宋_GB2312" w:eastAsia="仿宋_GB2312"/>
      <w:sz w:val="28"/>
      <w:szCs w:val="20"/>
    </w:rPr>
  </w:style>
  <w:style w:type="paragraph" w:styleId="8">
    <w:name w:val="Body Text Indent"/>
    <w:basedOn w:val="1"/>
    <w:qFormat/>
    <w:uiPriority w:val="0"/>
    <w:pPr>
      <w:spacing w:line="500" w:lineRule="exact"/>
      <w:ind w:left="1567" w:leftChars="402" w:hanging="723" w:hangingChars="200"/>
    </w:pPr>
    <w:rPr>
      <w:rFonts w:ascii="幼圆" w:eastAsia="幼圆"/>
      <w:b/>
      <w:bCs/>
      <w:sz w:val="36"/>
    </w:rPr>
  </w:style>
  <w:style w:type="paragraph" w:styleId="9">
    <w:name w:val="List 2"/>
    <w:basedOn w:val="1"/>
    <w:qFormat/>
    <w:uiPriority w:val="0"/>
    <w:pPr>
      <w:ind w:left="100" w:leftChars="200" w:hanging="200" w:hangingChars="200"/>
    </w:pPr>
  </w:style>
  <w:style w:type="paragraph" w:styleId="10">
    <w:name w:val="Plain Text"/>
    <w:basedOn w:val="1"/>
    <w:qFormat/>
    <w:uiPriority w:val="0"/>
    <w:rPr>
      <w:rFonts w:ascii="宋体" w:hAnsi="Courier New"/>
      <w:szCs w:val="20"/>
    </w:rPr>
  </w:style>
  <w:style w:type="paragraph" w:styleId="11">
    <w:name w:val="Body Text Indent 2"/>
    <w:basedOn w:val="1"/>
    <w:qFormat/>
    <w:uiPriority w:val="0"/>
    <w:pPr>
      <w:spacing w:line="480" w:lineRule="exact"/>
      <w:ind w:left="810" w:firstLine="675"/>
    </w:pPr>
    <w:rPr>
      <w:rFonts w:eastAsia="仿宋_GB2312"/>
      <w:sz w:val="30"/>
      <w:szCs w:val="20"/>
    </w:rPr>
  </w:style>
  <w:style w:type="paragraph" w:styleId="12">
    <w:name w:val="Balloon Text"/>
    <w:basedOn w:val="1"/>
    <w:qFormat/>
    <w:uiPriority w:val="0"/>
    <w:rPr>
      <w:sz w:val="18"/>
      <w:szCs w:val="18"/>
    </w:rPr>
  </w:style>
  <w:style w:type="paragraph" w:styleId="13">
    <w:name w:val="footer"/>
    <w:basedOn w:val="1"/>
    <w:qFormat/>
    <w:uiPriority w:val="0"/>
    <w:pPr>
      <w:tabs>
        <w:tab w:val="center" w:pos="4153"/>
        <w:tab w:val="right" w:pos="8306"/>
      </w:tabs>
      <w:autoSpaceDE w:val="0"/>
      <w:autoSpaceDN w:val="0"/>
      <w:adjustRightInd w:val="0"/>
      <w:snapToGrid w:val="0"/>
      <w:jc w:val="left"/>
      <w:textAlignment w:val="baseline"/>
    </w:pPr>
    <w:rPr>
      <w:rFonts w:ascii="宋体"/>
      <w:kern w:val="0"/>
      <w:sz w:val="18"/>
      <w:szCs w:val="20"/>
    </w:rPr>
  </w:style>
  <w:style w:type="paragraph" w:styleId="14">
    <w:name w:val="header"/>
    <w:basedOn w:val="1"/>
    <w:qFormat/>
    <w:uiPriority w:val="0"/>
    <w:pPr>
      <w:pBdr>
        <w:bottom w:val="single" w:color="auto" w:sz="6" w:space="1"/>
      </w:pBdr>
      <w:tabs>
        <w:tab w:val="center" w:pos="4153"/>
        <w:tab w:val="right" w:pos="8306"/>
      </w:tabs>
      <w:autoSpaceDE w:val="0"/>
      <w:autoSpaceDN w:val="0"/>
      <w:adjustRightInd w:val="0"/>
      <w:snapToGrid w:val="0"/>
      <w:jc w:val="center"/>
      <w:textAlignment w:val="baseline"/>
    </w:pPr>
    <w:rPr>
      <w:rFonts w:ascii="宋体"/>
      <w:kern w:val="0"/>
      <w:sz w:val="18"/>
      <w:szCs w:val="20"/>
    </w:rPr>
  </w:style>
  <w:style w:type="paragraph" w:styleId="15">
    <w:name w:val="List"/>
    <w:basedOn w:val="1"/>
    <w:qFormat/>
    <w:uiPriority w:val="0"/>
    <w:pPr>
      <w:ind w:left="200" w:hanging="200" w:hangingChars="200"/>
    </w:pPr>
  </w:style>
  <w:style w:type="paragraph" w:styleId="16">
    <w:name w:val="Body Text Indent 3"/>
    <w:basedOn w:val="1"/>
    <w:qFormat/>
    <w:uiPriority w:val="0"/>
    <w:pPr>
      <w:spacing w:line="560" w:lineRule="exact"/>
      <w:ind w:firstLine="539"/>
    </w:pPr>
    <w:rPr>
      <w:rFonts w:ascii="仿宋_GB2312" w:eastAsia="仿宋_GB2312"/>
      <w:b/>
      <w:color w:val="000000"/>
      <w:kern w:val="0"/>
      <w:sz w:val="28"/>
      <w:szCs w:val="20"/>
    </w:rPr>
  </w:style>
  <w:style w:type="paragraph" w:styleId="17">
    <w:name w:val="HTML Preformatted"/>
    <w:basedOn w:val="1"/>
    <w:link w:val="3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21">
    <w:name w:val="page number"/>
    <w:basedOn w:val="20"/>
    <w:qFormat/>
    <w:uiPriority w:val="0"/>
  </w:style>
  <w:style w:type="character" w:styleId="22">
    <w:name w:val="Hyperlink"/>
    <w:qFormat/>
    <w:uiPriority w:val="0"/>
    <w:rPr>
      <w:color w:val="0000FF"/>
      <w:u w:val="single"/>
    </w:rPr>
  </w:style>
  <w:style w:type="paragraph" w:customStyle="1" w:styleId="23">
    <w:name w:val="List Paragraph1"/>
    <w:basedOn w:val="1"/>
    <w:qFormat/>
    <w:uiPriority w:val="0"/>
    <w:pPr>
      <w:ind w:firstLine="420" w:firstLineChars="200"/>
    </w:pPr>
    <w:rPr>
      <w:rFonts w:ascii="Calibri" w:hAnsi="Calibri"/>
      <w:szCs w:val="22"/>
    </w:rPr>
  </w:style>
  <w:style w:type="paragraph" w:customStyle="1" w:styleId="24">
    <w:name w:val="Char1"/>
    <w:basedOn w:val="1"/>
    <w:qFormat/>
    <w:uiPriority w:val="0"/>
    <w:rPr>
      <w:rFonts w:ascii="Tahoma" w:hAnsi="Tahoma"/>
      <w:sz w:val="24"/>
      <w:szCs w:val="20"/>
    </w:rPr>
  </w:style>
  <w:style w:type="paragraph" w:customStyle="1" w:styleId="25">
    <w:name w:val="p0"/>
    <w:basedOn w:val="1"/>
    <w:qFormat/>
    <w:uiPriority w:val="0"/>
    <w:pPr>
      <w:widowControl/>
    </w:pPr>
    <w:rPr>
      <w:kern w:val="0"/>
      <w:szCs w:val="21"/>
    </w:rPr>
  </w:style>
  <w:style w:type="paragraph" w:customStyle="1" w:styleId="26">
    <w:name w:val="Char"/>
    <w:basedOn w:val="1"/>
    <w:qFormat/>
    <w:uiPriority w:val="0"/>
    <w:pPr>
      <w:widowControl/>
      <w:spacing w:after="160" w:line="240" w:lineRule="exact"/>
      <w:jc w:val="left"/>
    </w:pPr>
  </w:style>
  <w:style w:type="paragraph" w:customStyle="1" w:styleId="27">
    <w:name w:val="a"/>
    <w:basedOn w:val="1"/>
    <w:qFormat/>
    <w:uiPriority w:val="0"/>
    <w:pPr>
      <w:spacing w:before="156" w:beforeLines="50" w:after="156" w:afterLines="50"/>
      <w:ind w:firstLine="480" w:firstLineChars="200"/>
    </w:pPr>
    <w:rPr>
      <w:rFonts w:ascii="华文楷体" w:hAnsi="华文楷体" w:eastAsia="华文楷体"/>
      <w:bCs/>
      <w:color w:val="000000"/>
      <w:kern w:val="21"/>
      <w:sz w:val="24"/>
    </w:rPr>
  </w:style>
  <w:style w:type="paragraph" w:customStyle="1" w:styleId="28">
    <w:name w:val="heading1 Char"/>
    <w:qFormat/>
    <w:uiPriority w:val="0"/>
    <w:pPr>
      <w:tabs>
        <w:tab w:val="left" w:pos="360"/>
      </w:tabs>
      <w:spacing w:before="312" w:beforeLines="100"/>
    </w:pPr>
    <w:rPr>
      <w:rFonts w:ascii="Arial" w:hAnsi="Arial" w:eastAsia="宋体" w:cs="Times New Roman"/>
      <w:b/>
      <w:sz w:val="28"/>
      <w:lang w:val="en-US" w:eastAsia="zh-CN" w:bidi="ar-SA"/>
    </w:rPr>
  </w:style>
  <w:style w:type="paragraph" w:customStyle="1" w:styleId="29">
    <w:name w:val="列出段落1"/>
    <w:basedOn w:val="1"/>
    <w:qFormat/>
    <w:uiPriority w:val="0"/>
    <w:pPr>
      <w:ind w:firstLine="420" w:firstLineChars="200"/>
    </w:pPr>
    <w:rPr>
      <w:rFonts w:ascii="Calibri" w:hAnsi="Calibri"/>
      <w:szCs w:val="22"/>
    </w:rPr>
  </w:style>
  <w:style w:type="paragraph" w:customStyle="1" w:styleId="30">
    <w:name w:val="篇章"/>
    <w:basedOn w:val="1"/>
    <w:qFormat/>
    <w:uiPriority w:val="0"/>
    <w:pPr>
      <w:adjustRightInd w:val="0"/>
      <w:snapToGrid w:val="0"/>
      <w:spacing w:after="360"/>
      <w:jc w:val="center"/>
      <w:outlineLvl w:val="0"/>
    </w:pPr>
    <w:rPr>
      <w:rFonts w:ascii="宋体" w:hAnsi="宋体"/>
      <w:b/>
      <w:kern w:val="0"/>
      <w:sz w:val="36"/>
      <w:szCs w:val="21"/>
    </w:rPr>
  </w:style>
  <w:style w:type="character" w:customStyle="1" w:styleId="31">
    <w:name w:val="HTML 预设格式 Char"/>
    <w:link w:val="17"/>
    <w:qFormat/>
    <w:uiPriority w:val="0"/>
    <w:rPr>
      <w:rFonts w:ascii="宋体" w:hAnsi="宋体" w:eastAsia="宋体" w:cs="宋体"/>
      <w:sz w:val="24"/>
      <w:szCs w:val="24"/>
      <w:lang w:val="en-US" w:eastAsia="zh-CN" w:bidi="ar-SA"/>
    </w:rPr>
  </w:style>
  <w:style w:type="character" w:customStyle="1" w:styleId="32">
    <w:name w:val="apple-converted-space"/>
    <w:basedOn w:val="20"/>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Pages>
  <Words>3025</Words>
  <Characters>17245</Characters>
  <Lines>143</Lines>
  <Paragraphs>40</Paragraphs>
  <TotalTime>3</TotalTime>
  <ScaleCrop>false</ScaleCrop>
  <LinksUpToDate>false</LinksUpToDate>
  <CharactersWithSpaces>20230</CharactersWithSpaces>
  <Application>WPS Office_11.1.0.8863_F1E327BC-269C-435d-A152-05C5408002CA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2013-02-22T02:42:00Z</dcterms:created>
  <dc:creator>李绪</dc:creator>
  <cp:lastModifiedBy>xy</cp:lastModifiedBy>
  <cp:lastPrinted>2019-03-13T01:23:00Z</cp:lastPrinted>
  <dcterms:modified xsi:type="dcterms:W3CDTF">2019-07-08T03:11:20Z</dcterms:modified>
  <dc:title>项目编号：ESZFCG2006[J]—G002</dc:title>
  <cp:revision>123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2052-11.1.0.8863</vt:lpwstr>
  </property>
</Properties>
</file>