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36"/>
          <w:szCs w:val="36"/>
        </w:rPr>
      </w:pPr>
      <w:r>
        <w:rPr>
          <w:rFonts w:hint="eastAsia" w:ascii="宋体" w:hAnsi="宋体" w:cs="宋体"/>
          <w:b/>
          <w:bCs/>
          <w:color w:val="auto"/>
          <w:kern w:val="0"/>
          <w:sz w:val="36"/>
          <w:szCs w:val="36"/>
          <w:lang w:eastAsia="zh-CN"/>
        </w:rPr>
        <w:t>湖北唐崖河风景名胜区黄金洞景区</w:t>
      </w:r>
      <w:r>
        <w:rPr>
          <w:rFonts w:hint="eastAsia" w:ascii="宋体" w:hAnsi="宋体" w:cs="宋体"/>
          <w:b/>
          <w:bCs/>
          <w:color w:val="auto"/>
          <w:kern w:val="0"/>
          <w:sz w:val="36"/>
          <w:szCs w:val="36"/>
          <w:lang w:val="en-US" w:eastAsia="zh-CN"/>
        </w:rPr>
        <w:t>电子票务系统采购项目</w:t>
      </w:r>
    </w:p>
    <w:p>
      <w:pPr>
        <w:jc w:val="center"/>
        <w:rPr>
          <w:rFonts w:hint="eastAsia" w:ascii="宋体" w:hAnsi="宋体"/>
          <w:b/>
          <w:bCs/>
          <w:color w:val="auto"/>
          <w:sz w:val="36"/>
          <w:szCs w:val="36"/>
        </w:rPr>
      </w:pPr>
    </w:p>
    <w:p>
      <w:pPr>
        <w:spacing w:line="1000" w:lineRule="exact"/>
        <w:jc w:val="center"/>
        <w:rPr>
          <w:rFonts w:hint="eastAsia" w:ascii="宋体" w:hAnsi="宋体"/>
          <w:b/>
          <w:bCs/>
          <w:color w:val="auto"/>
          <w:sz w:val="52"/>
          <w:szCs w:val="36"/>
        </w:rPr>
      </w:pPr>
      <w:r>
        <w:rPr>
          <w:rFonts w:hint="eastAsia" w:ascii="宋体" w:hAnsi="宋体"/>
          <w:b/>
          <w:bCs/>
          <w:color w:val="auto"/>
          <w:sz w:val="52"/>
          <w:szCs w:val="36"/>
        </w:rPr>
        <w:t>竞</w:t>
      </w:r>
    </w:p>
    <w:p>
      <w:pPr>
        <w:spacing w:line="1000" w:lineRule="exact"/>
        <w:jc w:val="center"/>
        <w:rPr>
          <w:rFonts w:hint="eastAsia" w:ascii="宋体" w:hAnsi="宋体"/>
          <w:b/>
          <w:bCs/>
          <w:color w:val="auto"/>
          <w:sz w:val="52"/>
          <w:szCs w:val="36"/>
        </w:rPr>
      </w:pPr>
      <w:r>
        <w:rPr>
          <w:rFonts w:hint="eastAsia" w:ascii="宋体" w:hAnsi="宋体"/>
          <w:b/>
          <w:bCs/>
          <w:color w:val="auto"/>
          <w:sz w:val="52"/>
          <w:szCs w:val="36"/>
        </w:rPr>
        <w:t>争</w:t>
      </w:r>
    </w:p>
    <w:p>
      <w:pPr>
        <w:spacing w:line="1000" w:lineRule="exact"/>
        <w:jc w:val="center"/>
        <w:rPr>
          <w:rFonts w:hint="eastAsia" w:ascii="宋体" w:hAnsi="宋体"/>
          <w:b/>
          <w:bCs/>
          <w:color w:val="auto"/>
          <w:sz w:val="52"/>
          <w:szCs w:val="36"/>
        </w:rPr>
      </w:pPr>
      <w:r>
        <w:rPr>
          <w:rFonts w:hint="eastAsia" w:ascii="宋体" w:hAnsi="宋体"/>
          <w:b/>
          <w:bCs/>
          <w:color w:val="auto"/>
          <w:sz w:val="52"/>
          <w:szCs w:val="36"/>
        </w:rPr>
        <w:t>性</w:t>
      </w:r>
    </w:p>
    <w:p>
      <w:pPr>
        <w:spacing w:line="1000" w:lineRule="exact"/>
        <w:jc w:val="center"/>
        <w:rPr>
          <w:rFonts w:hint="eastAsia" w:ascii="宋体" w:hAnsi="宋体"/>
          <w:b/>
          <w:bCs/>
          <w:color w:val="auto"/>
          <w:sz w:val="52"/>
          <w:szCs w:val="36"/>
          <w:lang w:eastAsia="zh-CN"/>
        </w:rPr>
      </w:pPr>
      <w:r>
        <w:rPr>
          <w:rFonts w:hint="eastAsia" w:ascii="宋体" w:hAnsi="宋体"/>
          <w:b/>
          <w:bCs/>
          <w:color w:val="auto"/>
          <w:sz w:val="52"/>
          <w:szCs w:val="36"/>
          <w:lang w:eastAsia="zh-CN"/>
        </w:rPr>
        <w:t>磋</w:t>
      </w:r>
    </w:p>
    <w:p>
      <w:pPr>
        <w:spacing w:line="1000" w:lineRule="exact"/>
        <w:jc w:val="center"/>
        <w:rPr>
          <w:rFonts w:hint="eastAsia" w:ascii="宋体" w:hAnsi="宋体"/>
          <w:b/>
          <w:bCs/>
          <w:color w:val="auto"/>
          <w:sz w:val="52"/>
          <w:szCs w:val="36"/>
          <w:lang w:eastAsia="zh-CN"/>
        </w:rPr>
      </w:pPr>
      <w:r>
        <w:rPr>
          <w:rFonts w:hint="eastAsia" w:ascii="宋体" w:hAnsi="宋体"/>
          <w:b/>
          <w:bCs/>
          <w:color w:val="auto"/>
          <w:sz w:val="52"/>
          <w:szCs w:val="36"/>
          <w:lang w:eastAsia="zh-CN"/>
        </w:rPr>
        <w:t>商</w:t>
      </w:r>
    </w:p>
    <w:p>
      <w:pPr>
        <w:spacing w:line="1000" w:lineRule="exact"/>
        <w:jc w:val="center"/>
        <w:rPr>
          <w:rFonts w:hint="eastAsia" w:ascii="宋体" w:hAnsi="宋体"/>
          <w:b/>
          <w:bCs/>
          <w:color w:val="auto"/>
          <w:sz w:val="52"/>
          <w:szCs w:val="36"/>
        </w:rPr>
      </w:pPr>
      <w:r>
        <w:rPr>
          <w:rFonts w:hint="eastAsia" w:ascii="宋体" w:hAnsi="宋体"/>
          <w:b/>
          <w:bCs/>
          <w:color w:val="auto"/>
          <w:sz w:val="52"/>
          <w:szCs w:val="36"/>
        </w:rPr>
        <w:t>文</w:t>
      </w:r>
    </w:p>
    <w:p>
      <w:pPr>
        <w:spacing w:line="1000" w:lineRule="exact"/>
        <w:jc w:val="center"/>
        <w:rPr>
          <w:rFonts w:hint="eastAsia" w:ascii="宋体" w:hAnsi="宋体"/>
          <w:b/>
          <w:bCs/>
          <w:color w:val="auto"/>
          <w:sz w:val="52"/>
          <w:szCs w:val="36"/>
        </w:rPr>
      </w:pPr>
      <w:r>
        <w:rPr>
          <w:rFonts w:hint="eastAsia" w:ascii="宋体" w:hAnsi="宋体"/>
          <w:b/>
          <w:bCs/>
          <w:color w:val="auto"/>
          <w:sz w:val="52"/>
          <w:szCs w:val="36"/>
        </w:rPr>
        <w:t>件</w:t>
      </w:r>
    </w:p>
    <w:p>
      <w:pPr>
        <w:spacing w:line="800" w:lineRule="exact"/>
        <w:jc w:val="center"/>
        <w:rPr>
          <w:rFonts w:hint="eastAsia" w:ascii="宋体" w:hAnsi="宋体"/>
          <w:b/>
          <w:bCs/>
          <w:color w:val="auto"/>
          <w:sz w:val="52"/>
          <w:szCs w:val="36"/>
        </w:rPr>
      </w:pPr>
    </w:p>
    <w:p>
      <w:pPr>
        <w:rPr>
          <w:rFonts w:hint="eastAsia" w:ascii="宋体" w:hAnsi="宋体"/>
          <w:b/>
          <w:bCs/>
          <w:color w:val="auto"/>
          <w:sz w:val="36"/>
          <w:szCs w:val="36"/>
        </w:rPr>
      </w:pPr>
    </w:p>
    <w:p>
      <w:pPr>
        <w:ind w:firstLine="964" w:firstLineChars="300"/>
        <w:rPr>
          <w:rFonts w:ascii="宋体" w:hAnsi="宋体"/>
          <w:b/>
          <w:bCs/>
          <w:color w:val="auto"/>
          <w:sz w:val="32"/>
          <w:szCs w:val="32"/>
        </w:rPr>
      </w:pPr>
      <w:r>
        <w:rPr>
          <w:rFonts w:hint="eastAsia" w:ascii="宋体" w:hAnsi="宋体"/>
          <w:b/>
          <w:bCs/>
          <w:color w:val="auto"/>
          <w:sz w:val="32"/>
          <w:szCs w:val="32"/>
        </w:rPr>
        <w:t>招 标 人：</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湖北唐崖河风景名胜区旅游发展</w:t>
      </w:r>
      <w:r>
        <w:rPr>
          <w:rFonts w:hint="eastAsia" w:ascii="宋体" w:hAnsi="宋体"/>
          <w:b/>
          <w:bCs/>
          <w:color w:val="auto"/>
          <w:sz w:val="32"/>
          <w:szCs w:val="32"/>
          <w:u w:val="single"/>
        </w:rPr>
        <w:t xml:space="preserve">有限公司   </w:t>
      </w:r>
    </w:p>
    <w:p>
      <w:pPr>
        <w:ind w:firstLine="964" w:firstLineChars="300"/>
        <w:rPr>
          <w:rFonts w:hint="eastAsia" w:ascii="宋体" w:hAnsi="宋体"/>
          <w:b/>
          <w:bCs/>
          <w:color w:val="auto"/>
          <w:sz w:val="32"/>
          <w:szCs w:val="32"/>
          <w:u w:val="single"/>
        </w:rPr>
      </w:pPr>
      <w:r>
        <w:rPr>
          <w:rFonts w:hint="eastAsia" w:ascii="宋体" w:hAnsi="宋体"/>
          <w:b/>
          <w:bCs/>
          <w:color w:val="auto"/>
          <w:sz w:val="32"/>
          <w:szCs w:val="32"/>
        </w:rPr>
        <w:t>项目编号：</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ab/>
      </w:r>
      <w:r>
        <w:rPr>
          <w:rFonts w:hint="eastAsia" w:ascii="宋体" w:hAnsi="宋体"/>
          <w:b/>
          <w:bCs/>
          <w:color w:val="auto"/>
          <w:sz w:val="32"/>
          <w:szCs w:val="32"/>
          <w:u w:val="single"/>
          <w:lang w:val="en-US" w:eastAsia="zh-CN"/>
        </w:rPr>
        <w:t>TYH</w:t>
      </w:r>
      <w:r>
        <w:rPr>
          <w:rFonts w:hint="eastAsia" w:ascii="宋体" w:hAnsi="宋体"/>
          <w:b/>
          <w:bCs/>
          <w:color w:val="auto"/>
          <w:sz w:val="32"/>
          <w:szCs w:val="32"/>
          <w:u w:val="single"/>
        </w:rPr>
        <w:t>-202</w:t>
      </w:r>
      <w:r>
        <w:rPr>
          <w:rFonts w:hint="eastAsia" w:ascii="宋体" w:hAnsi="宋体"/>
          <w:b/>
          <w:bCs/>
          <w:color w:val="auto"/>
          <w:sz w:val="32"/>
          <w:szCs w:val="32"/>
          <w:u w:val="single"/>
          <w:lang w:val="en-US" w:eastAsia="zh-CN"/>
        </w:rPr>
        <w:t>1-</w:t>
      </w:r>
      <w:r>
        <w:rPr>
          <w:rFonts w:hint="eastAsia" w:ascii="宋体" w:hAnsi="宋体"/>
          <w:b/>
          <w:bCs/>
          <w:color w:val="auto"/>
          <w:sz w:val="32"/>
          <w:szCs w:val="32"/>
          <w:u w:val="single"/>
        </w:rPr>
        <w:t>00</w:t>
      </w:r>
      <w:r>
        <w:rPr>
          <w:rFonts w:hint="eastAsia" w:ascii="宋体" w:hAnsi="宋体"/>
          <w:b/>
          <w:bCs/>
          <w:color w:val="auto"/>
          <w:sz w:val="32"/>
          <w:szCs w:val="32"/>
          <w:u w:val="single"/>
          <w:lang w:val="en-US" w:eastAsia="zh-CN"/>
        </w:rPr>
        <w:t>1</w:t>
      </w:r>
      <w:r>
        <w:rPr>
          <w:rFonts w:hint="eastAsia" w:ascii="宋体" w:hAnsi="宋体"/>
          <w:b/>
          <w:bCs/>
          <w:color w:val="auto"/>
          <w:sz w:val="32"/>
          <w:szCs w:val="32"/>
          <w:u w:val="single"/>
        </w:rPr>
        <w:t xml:space="preserve">        </w:t>
      </w:r>
    </w:p>
    <w:p>
      <w:pPr>
        <w:jc w:val="center"/>
        <w:rPr>
          <w:rFonts w:hint="eastAsia" w:ascii="宋体" w:hAnsi="宋体"/>
          <w:b/>
          <w:bCs/>
          <w:color w:val="auto"/>
          <w:sz w:val="24"/>
          <w:szCs w:val="24"/>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r>
        <w:rPr>
          <w:rFonts w:hint="eastAsia" w:ascii="宋体" w:hAnsi="宋体"/>
          <w:b/>
          <w:bCs/>
          <w:color w:val="auto"/>
          <w:sz w:val="32"/>
          <w:szCs w:val="32"/>
        </w:rPr>
        <w:t>202</w:t>
      </w:r>
      <w:r>
        <w:rPr>
          <w:rFonts w:hint="eastAsia" w:ascii="宋体" w:hAnsi="宋体"/>
          <w:b/>
          <w:bCs/>
          <w:color w:val="auto"/>
          <w:sz w:val="32"/>
          <w:szCs w:val="32"/>
          <w:lang w:val="en-US" w:eastAsia="zh-CN"/>
        </w:rPr>
        <w:t>1</w:t>
      </w:r>
      <w:r>
        <w:rPr>
          <w:rFonts w:hint="eastAsia" w:ascii="宋体" w:hAnsi="宋体"/>
          <w:b/>
          <w:bCs/>
          <w:color w:val="auto"/>
          <w:sz w:val="32"/>
          <w:szCs w:val="32"/>
        </w:rPr>
        <w:t>年</w:t>
      </w:r>
      <w:r>
        <w:rPr>
          <w:rFonts w:hint="eastAsia" w:ascii="宋体" w:hAnsi="宋体"/>
          <w:b/>
          <w:bCs/>
          <w:color w:val="auto"/>
          <w:sz w:val="32"/>
          <w:szCs w:val="32"/>
          <w:lang w:val="en-US" w:eastAsia="zh-CN"/>
        </w:rPr>
        <w:t>1</w:t>
      </w:r>
      <w:r>
        <w:rPr>
          <w:rFonts w:hint="eastAsia" w:ascii="宋体" w:hAnsi="宋体"/>
          <w:b/>
          <w:bCs/>
          <w:color w:val="auto"/>
          <w:sz w:val="32"/>
          <w:szCs w:val="32"/>
        </w:rPr>
        <w:t>月2</w:t>
      </w:r>
      <w:r>
        <w:rPr>
          <w:rFonts w:hint="eastAsia" w:ascii="宋体" w:hAnsi="宋体"/>
          <w:b/>
          <w:bCs/>
          <w:color w:val="auto"/>
          <w:sz w:val="32"/>
          <w:szCs w:val="32"/>
          <w:lang w:val="en-US" w:eastAsia="zh-CN"/>
        </w:rPr>
        <w:t>1</w:t>
      </w:r>
      <w:r>
        <w:rPr>
          <w:rFonts w:hint="eastAsia" w:ascii="宋体" w:hAnsi="宋体"/>
          <w:b/>
          <w:bCs/>
          <w:color w:val="auto"/>
          <w:sz w:val="32"/>
          <w:szCs w:val="32"/>
        </w:rPr>
        <w:t>日</w:t>
      </w:r>
    </w:p>
    <w:p>
      <w:pPr>
        <w:jc w:val="center"/>
        <w:rPr>
          <w:rFonts w:hint="eastAsia" w:ascii="宋体" w:hAnsi="宋体"/>
          <w:b/>
          <w:bCs/>
          <w:color w:val="auto"/>
          <w:sz w:val="36"/>
          <w:szCs w:val="36"/>
        </w:rPr>
      </w:pPr>
    </w:p>
    <w:p>
      <w:pPr>
        <w:jc w:val="both"/>
        <w:rPr>
          <w:rFonts w:hint="eastAsia" w:ascii="宋体" w:hAnsi="宋体"/>
          <w:b/>
          <w:bCs/>
          <w:color w:val="auto"/>
          <w:sz w:val="36"/>
          <w:szCs w:val="36"/>
        </w:rPr>
      </w:pPr>
    </w:p>
    <w:p>
      <w:pPr>
        <w:spacing w:line="620" w:lineRule="exact"/>
        <w:jc w:val="center"/>
        <w:rPr>
          <w:rFonts w:ascii="宋体" w:hAnsi="宋体"/>
          <w:sz w:val="32"/>
          <w:szCs w:val="21"/>
          <w14:shadow w14:blurRad="50800" w14:dist="38100" w14:dir="2700000" w14:sx="100000" w14:sy="100000" w14:kx="0" w14:ky="0" w14:algn="tl">
            <w14:srgbClr w14:val="000000">
              <w14:alpha w14:val="60000"/>
            </w14:srgbClr>
          </w14:shadow>
        </w:rPr>
      </w:pPr>
      <w:r>
        <w:rPr>
          <w:rFonts w:hint="eastAsia" w:ascii="宋体" w:hAnsi="宋体"/>
          <w:b/>
          <w:sz w:val="32"/>
          <w:szCs w:val="21"/>
        </w:rPr>
        <w:t>目   录</w:t>
      </w:r>
    </w:p>
    <w:p>
      <w:pPr>
        <w:pStyle w:val="25"/>
        <w:tabs>
          <w:tab w:val="right" w:leader="dot" w:pos="8640"/>
        </w:tabs>
      </w:pPr>
      <w:bookmarkStart w:id="0" w:name="_Toc118599100"/>
      <w:bookmarkStart w:id="1" w:name="_Toc119738559"/>
      <w:bookmarkStart w:id="2" w:name="_Toc118717296"/>
      <w:bookmarkStart w:id="3" w:name="_Toc214163612"/>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TOC \o "1-1" \h \z \u </w:instrText>
      </w:r>
      <w:r>
        <w:rPr>
          <w14:shadow w14:blurRad="50800" w14:dist="38100" w14:dir="2700000" w14:sx="100000" w14:sy="100000" w14:kx="0" w14:ky="0" w14:algn="tl">
            <w14:srgbClr w14:val="000000">
              <w14:alpha w14:val="60000"/>
            </w14:srgbClr>
          </w14:shadow>
        </w:rPr>
        <w:fldChar w:fldCharType="separate"/>
      </w: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_Toc1838 </w:instrText>
      </w:r>
      <w:r>
        <w:rPr>
          <w14:shadow w14:blurRad="50800" w14:dist="38100" w14:dir="2700000" w14:sx="100000" w14:sy="100000" w14:kx="0" w14:ky="0" w14:algn="tl">
            <w14:srgbClr w14:val="000000">
              <w14:alpha w14:val="60000"/>
            </w14:srgbClr>
          </w14:shadow>
        </w:rPr>
        <w:fldChar w:fldCharType="separate"/>
      </w:r>
      <w:r>
        <w:rPr>
          <w:rFonts w:hint="eastAsia"/>
        </w:rPr>
        <w:t xml:space="preserve">第一章  </w:t>
      </w:r>
      <w:r>
        <w:rPr>
          <w:rFonts w:hint="eastAsia" w:ascii="宋体" w:hAnsi="宋体" w:cs="Times New Roman"/>
        </w:rPr>
        <w:t>竞争性</w:t>
      </w:r>
      <w:r>
        <w:rPr>
          <w:rFonts w:hint="eastAsia" w:ascii="宋体" w:hAnsi="宋体" w:cs="Times New Roman"/>
          <w:lang w:val="en-US" w:eastAsia="zh-CN"/>
        </w:rPr>
        <w:t>磋商</w:t>
      </w:r>
      <w:r>
        <w:rPr>
          <w:rFonts w:hint="eastAsia" w:ascii="宋体" w:hAnsi="宋体" w:cs="Times New Roman"/>
        </w:rPr>
        <w:t>公告</w:t>
      </w:r>
      <w:r>
        <w:tab/>
      </w:r>
      <w:r>
        <w:fldChar w:fldCharType="begin"/>
      </w:r>
      <w:r>
        <w:instrText xml:space="preserve"> PAGEREF _Toc1838 </w:instrText>
      </w:r>
      <w:r>
        <w:fldChar w:fldCharType="separate"/>
      </w:r>
      <w:r>
        <w:t>1</w:t>
      </w:r>
      <w:r>
        <w:fldChar w:fldCharType="end"/>
      </w:r>
      <w:r>
        <w:rPr>
          <w14:shadow w14:blurRad="50800" w14:dist="38100" w14:dir="2700000" w14:sx="100000" w14:sy="100000" w14:kx="0" w14:ky="0" w14:algn="tl">
            <w14:srgbClr w14:val="000000">
              <w14:alpha w14:val="60000"/>
            </w14:srgbClr>
          </w14:shadow>
        </w:rPr>
        <w:fldChar w:fldCharType="end"/>
      </w:r>
    </w:p>
    <w:p>
      <w:pPr>
        <w:pStyle w:val="25"/>
        <w:tabs>
          <w:tab w:val="right" w:leader="dot" w:pos="8640"/>
        </w:tabs>
      </w:pP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_Toc30863 </w:instrText>
      </w:r>
      <w:r>
        <w:rPr>
          <w14:shadow w14:blurRad="50800" w14:dist="38100" w14:dir="2700000" w14:sx="100000" w14:sy="100000" w14:kx="0" w14:ky="0" w14:algn="tl">
            <w14:srgbClr w14:val="000000">
              <w14:alpha w14:val="60000"/>
            </w14:srgbClr>
          </w14:shadow>
        </w:rPr>
        <w:fldChar w:fldCharType="separate"/>
      </w:r>
      <w:r>
        <w:rPr>
          <w:rFonts w:hint="eastAsia"/>
        </w:rPr>
        <w:t>第二章  供应商须知前附</w:t>
      </w:r>
      <w:r>
        <w:rPr>
          <w:rFonts w:hint="eastAsia"/>
          <w:szCs w:val="28"/>
        </w:rPr>
        <w:t>表、</w:t>
      </w:r>
      <w:r>
        <w:rPr>
          <w:rFonts w:hint="eastAsia" w:ascii="宋体" w:hAnsi="宋体"/>
          <w:szCs w:val="28"/>
          <w:lang w:val="zh-CN"/>
        </w:rPr>
        <w:t>合同通用条款前附表</w:t>
      </w:r>
      <w:r>
        <w:tab/>
      </w:r>
      <w:r>
        <w:fldChar w:fldCharType="begin"/>
      </w:r>
      <w:r>
        <w:instrText xml:space="preserve"> PAGEREF _Toc30863 </w:instrText>
      </w:r>
      <w:r>
        <w:fldChar w:fldCharType="separate"/>
      </w:r>
      <w:r>
        <w:t>2</w:t>
      </w:r>
      <w:r>
        <w:fldChar w:fldCharType="end"/>
      </w:r>
      <w:r>
        <w:rPr>
          <w14:shadow w14:blurRad="50800" w14:dist="38100" w14:dir="2700000" w14:sx="100000" w14:sy="100000" w14:kx="0" w14:ky="0" w14:algn="tl">
            <w14:srgbClr w14:val="000000">
              <w14:alpha w14:val="60000"/>
            </w14:srgbClr>
          </w14:shadow>
        </w:rPr>
        <w:fldChar w:fldCharType="end"/>
      </w:r>
    </w:p>
    <w:p>
      <w:pPr>
        <w:pStyle w:val="25"/>
        <w:tabs>
          <w:tab w:val="right" w:leader="dot" w:pos="8640"/>
        </w:tabs>
      </w:pP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_Toc21296 </w:instrText>
      </w:r>
      <w:r>
        <w:rPr>
          <w14:shadow w14:blurRad="50800" w14:dist="38100" w14:dir="2700000" w14:sx="100000" w14:sy="100000" w14:kx="0" w14:ky="0" w14:algn="tl">
            <w14:srgbClr w14:val="000000">
              <w14:alpha w14:val="60000"/>
            </w14:srgbClr>
          </w14:shadow>
        </w:rPr>
        <w:fldChar w:fldCharType="separate"/>
      </w:r>
      <w:r>
        <w:rPr>
          <w:rFonts w:hint="eastAsia"/>
        </w:rPr>
        <w:t>第三章  供应商须知</w:t>
      </w:r>
      <w:r>
        <w:tab/>
      </w:r>
      <w:r>
        <w:fldChar w:fldCharType="begin"/>
      </w:r>
      <w:r>
        <w:instrText xml:space="preserve"> PAGEREF _Toc21296 </w:instrText>
      </w:r>
      <w:r>
        <w:fldChar w:fldCharType="separate"/>
      </w:r>
      <w:r>
        <w:t>6</w:t>
      </w:r>
      <w:r>
        <w:fldChar w:fldCharType="end"/>
      </w:r>
      <w:r>
        <w:rPr>
          <w14:shadow w14:blurRad="50800" w14:dist="38100" w14:dir="2700000" w14:sx="100000" w14:sy="100000" w14:kx="0" w14:ky="0" w14:algn="tl">
            <w14:srgbClr w14:val="000000">
              <w14:alpha w14:val="60000"/>
            </w14:srgbClr>
          </w14:shadow>
        </w:rPr>
        <w:fldChar w:fldCharType="end"/>
      </w:r>
    </w:p>
    <w:p>
      <w:pPr>
        <w:pStyle w:val="25"/>
        <w:tabs>
          <w:tab w:val="right" w:leader="dot" w:pos="8640"/>
        </w:tabs>
      </w:pP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_Toc28223 </w:instrText>
      </w:r>
      <w:r>
        <w:rPr>
          <w14:shadow w14:blurRad="50800" w14:dist="38100" w14:dir="2700000" w14:sx="100000" w14:sy="100000" w14:kx="0" w14:ky="0" w14:algn="tl">
            <w14:srgbClr w14:val="000000">
              <w14:alpha w14:val="60000"/>
            </w14:srgbClr>
          </w14:shadow>
        </w:rPr>
        <w:fldChar w:fldCharType="separate"/>
      </w:r>
      <w:r>
        <w:rPr>
          <w:rFonts w:hint="eastAsia"/>
        </w:rPr>
        <w:t>第四章  磋商程序及评审办法</w:t>
      </w:r>
      <w:r>
        <w:tab/>
      </w:r>
      <w:r>
        <w:fldChar w:fldCharType="begin"/>
      </w:r>
      <w:r>
        <w:instrText xml:space="preserve"> PAGEREF _Toc28223 </w:instrText>
      </w:r>
      <w:r>
        <w:fldChar w:fldCharType="separate"/>
      </w:r>
      <w:r>
        <w:t>16</w:t>
      </w:r>
      <w:r>
        <w:fldChar w:fldCharType="end"/>
      </w:r>
      <w:r>
        <w:rPr>
          <w14:shadow w14:blurRad="50800" w14:dist="38100" w14:dir="2700000" w14:sx="100000" w14:sy="100000" w14:kx="0" w14:ky="0" w14:algn="tl">
            <w14:srgbClr w14:val="000000">
              <w14:alpha w14:val="60000"/>
            </w14:srgbClr>
          </w14:shadow>
        </w:rPr>
        <w:fldChar w:fldCharType="end"/>
      </w:r>
    </w:p>
    <w:p>
      <w:pPr>
        <w:pStyle w:val="25"/>
        <w:tabs>
          <w:tab w:val="right" w:leader="dot" w:pos="8640"/>
        </w:tabs>
      </w:pP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_Toc2280 </w:instrText>
      </w:r>
      <w:r>
        <w:rPr>
          <w14:shadow w14:blurRad="50800" w14:dist="38100" w14:dir="2700000" w14:sx="100000" w14:sy="100000" w14:kx="0" w14:ky="0" w14:algn="tl">
            <w14:srgbClr w14:val="000000">
              <w14:alpha w14:val="60000"/>
            </w14:srgbClr>
          </w14:shadow>
        </w:rPr>
        <w:fldChar w:fldCharType="separate"/>
      </w:r>
      <w:r>
        <w:rPr>
          <w:rFonts w:hint="eastAsia"/>
        </w:rPr>
        <w:t>第五章</w:t>
      </w:r>
      <w:r>
        <w:t xml:space="preserve">  </w:t>
      </w:r>
      <w:r>
        <w:rPr>
          <w:rFonts w:hint="eastAsia"/>
        </w:rPr>
        <w:t>磋商内容及要求</w:t>
      </w:r>
      <w:r>
        <w:tab/>
      </w:r>
      <w:r>
        <w:fldChar w:fldCharType="begin"/>
      </w:r>
      <w:r>
        <w:instrText xml:space="preserve"> PAGEREF _Toc2280 </w:instrText>
      </w:r>
      <w:r>
        <w:fldChar w:fldCharType="separate"/>
      </w:r>
      <w:r>
        <w:t>18</w:t>
      </w:r>
      <w:r>
        <w:fldChar w:fldCharType="end"/>
      </w:r>
      <w:r>
        <w:rPr>
          <w14:shadow w14:blurRad="50800" w14:dist="38100" w14:dir="2700000" w14:sx="100000" w14:sy="100000" w14:kx="0" w14:ky="0" w14:algn="tl">
            <w14:srgbClr w14:val="000000">
              <w14:alpha w14:val="60000"/>
            </w14:srgbClr>
          </w14:shadow>
        </w:rPr>
        <w:fldChar w:fldCharType="end"/>
      </w:r>
    </w:p>
    <w:p>
      <w:pPr>
        <w:pStyle w:val="25"/>
        <w:tabs>
          <w:tab w:val="right" w:leader="dot" w:pos="8640"/>
        </w:tabs>
      </w:pP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_Toc28510 </w:instrText>
      </w:r>
      <w:r>
        <w:rPr>
          <w14:shadow w14:blurRad="50800" w14:dist="38100" w14:dir="2700000" w14:sx="100000" w14:sy="100000" w14:kx="0" w14:ky="0" w14:algn="tl">
            <w14:srgbClr w14:val="000000">
              <w14:alpha w14:val="60000"/>
            </w14:srgbClr>
          </w14:shadow>
        </w:rPr>
        <w:fldChar w:fldCharType="separate"/>
      </w:r>
      <w:r>
        <w:rPr>
          <w:rFonts w:hint="eastAsia"/>
        </w:rPr>
        <w:t>第六章  合同书（参考）</w:t>
      </w:r>
      <w:r>
        <w:tab/>
      </w:r>
      <w:r>
        <w:fldChar w:fldCharType="begin"/>
      </w:r>
      <w:r>
        <w:instrText xml:space="preserve"> PAGEREF _Toc28510 </w:instrText>
      </w:r>
      <w:r>
        <w:fldChar w:fldCharType="separate"/>
      </w:r>
      <w:r>
        <w:t>20</w:t>
      </w:r>
      <w:r>
        <w:fldChar w:fldCharType="end"/>
      </w:r>
      <w:r>
        <w:rPr>
          <w14:shadow w14:blurRad="50800" w14:dist="38100" w14:dir="2700000" w14:sx="100000" w14:sy="100000" w14:kx="0" w14:ky="0" w14:algn="tl">
            <w14:srgbClr w14:val="000000">
              <w14:alpha w14:val="60000"/>
            </w14:srgbClr>
          </w14:shadow>
        </w:rPr>
        <w:fldChar w:fldCharType="end"/>
      </w:r>
    </w:p>
    <w:p>
      <w:pPr>
        <w:pStyle w:val="25"/>
        <w:tabs>
          <w:tab w:val="right" w:leader="dot" w:pos="8640"/>
        </w:tabs>
      </w:pPr>
      <w:r>
        <w:rPr>
          <w14:shadow w14:blurRad="50800" w14:dist="38100" w14:dir="2700000" w14:sx="100000" w14:sy="100000" w14:kx="0" w14:ky="0" w14:algn="tl">
            <w14:srgbClr w14:val="000000">
              <w14:alpha w14:val="60000"/>
            </w14:srgbClr>
          </w14:shadow>
        </w:rPr>
        <w:fldChar w:fldCharType="begin"/>
      </w:r>
      <w:r>
        <w:rPr>
          <w14:shadow w14:blurRad="50800" w14:dist="38100" w14:dir="2700000" w14:sx="100000" w14:sy="100000" w14:kx="0" w14:ky="0" w14:algn="tl">
            <w14:srgbClr w14:val="000000">
              <w14:alpha w14:val="60000"/>
            </w14:srgbClr>
          </w14:shadow>
        </w:rPr>
        <w:instrText xml:space="preserve"> HYPERLINK \l _Toc27360 </w:instrText>
      </w:r>
      <w:r>
        <w:rPr>
          <w14:shadow w14:blurRad="50800" w14:dist="38100" w14:dir="2700000" w14:sx="100000" w14:sy="100000" w14:kx="0" w14:ky="0" w14:algn="tl">
            <w14:srgbClr w14:val="000000">
              <w14:alpha w14:val="60000"/>
            </w14:srgbClr>
          </w14:shadow>
        </w:rPr>
        <w:fldChar w:fldCharType="separate"/>
      </w:r>
      <w:r>
        <w:rPr>
          <w:rFonts w:hint="eastAsia"/>
        </w:rPr>
        <w:t>第七章  响应文件格式</w:t>
      </w:r>
      <w:r>
        <w:tab/>
      </w:r>
      <w:r>
        <w:fldChar w:fldCharType="begin"/>
      </w:r>
      <w:r>
        <w:instrText xml:space="preserve"> PAGEREF _Toc27360 </w:instrText>
      </w:r>
      <w:r>
        <w:fldChar w:fldCharType="separate"/>
      </w:r>
      <w:r>
        <w:t>22</w:t>
      </w:r>
      <w:r>
        <w:fldChar w:fldCharType="end"/>
      </w:r>
      <w:r>
        <w:rPr>
          <w14:shadow w14:blurRad="50800" w14:dist="38100" w14:dir="2700000" w14:sx="100000" w14:sy="100000" w14:kx="0" w14:ky="0" w14:algn="tl">
            <w14:srgbClr w14:val="000000">
              <w14:alpha w14:val="60000"/>
            </w14:srgbClr>
          </w14:shadow>
        </w:rPr>
        <w:fldChar w:fldCharType="end"/>
      </w:r>
    </w:p>
    <w:p>
      <w:pPr>
        <w:pStyle w:val="90"/>
        <w:tabs>
          <w:tab w:val="right" w:leader="dot" w:pos="8630"/>
        </w:tabs>
        <w:ind w:firstLine="420"/>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fldChar w:fldCharType="end"/>
      </w:r>
    </w:p>
    <w:bookmarkEnd w:id="0"/>
    <w:bookmarkEnd w:id="1"/>
    <w:bookmarkEnd w:id="2"/>
    <w:bookmarkEnd w:id="3"/>
    <w:p>
      <w:pPr>
        <w:pStyle w:val="3"/>
        <w:rPr>
          <w:rFonts w:hint="eastAsia"/>
        </w:rPr>
        <w:sectPr>
          <w:headerReference r:id="rId4" w:type="first"/>
          <w:headerReference r:id="rId3" w:type="default"/>
          <w:footerReference r:id="rId5" w:type="default"/>
          <w:pgSz w:w="11909" w:h="16834"/>
          <w:pgMar w:top="1440" w:right="1851" w:bottom="1440" w:left="1418" w:header="851" w:footer="851" w:gutter="0"/>
          <w:cols w:space="720" w:num="1"/>
          <w:titlePg/>
        </w:sectPr>
      </w:pPr>
    </w:p>
    <w:p>
      <w:pPr>
        <w:pStyle w:val="3"/>
      </w:pPr>
      <w:bookmarkStart w:id="4" w:name="_Toc1838"/>
      <w:r>
        <w:rPr>
          <w:rFonts w:hint="eastAsia"/>
        </w:rPr>
        <w:t xml:space="preserve">第一章  </w:t>
      </w:r>
      <w:r>
        <w:rPr>
          <w:rFonts w:hint="eastAsia" w:ascii="宋体" w:hAnsi="宋体" w:cs="Times New Roman"/>
        </w:rPr>
        <w:t>竞争性</w:t>
      </w:r>
      <w:r>
        <w:rPr>
          <w:rFonts w:hint="eastAsia" w:ascii="宋体" w:hAnsi="宋体" w:cs="Times New Roman"/>
          <w:lang w:val="en-US" w:eastAsia="zh-CN"/>
        </w:rPr>
        <w:t>磋商</w:t>
      </w:r>
      <w:r>
        <w:rPr>
          <w:rFonts w:hint="eastAsia" w:ascii="宋体" w:hAnsi="宋体" w:cs="Times New Roman"/>
        </w:rPr>
        <w:t>公告</w:t>
      </w:r>
      <w:bookmarkEnd w:id="4"/>
    </w:p>
    <w:p>
      <w:pPr>
        <w:adjustRightInd/>
        <w:spacing w:line="460" w:lineRule="exact"/>
        <w:ind w:firstLine="422" w:firstLineChars="200"/>
        <w:jc w:val="both"/>
        <w:textAlignment w:val="auto"/>
        <w:rPr>
          <w:rFonts w:ascii="宋体" w:hAnsi="宋体"/>
          <w:b/>
          <w:kern w:val="2"/>
          <w:sz w:val="21"/>
          <w:szCs w:val="21"/>
        </w:rPr>
      </w:pPr>
      <w:bookmarkStart w:id="5" w:name="_Toc35393629"/>
      <w:bookmarkStart w:id="6" w:name="_Toc28359012"/>
      <w:bookmarkStart w:id="7" w:name="_Toc35393798"/>
      <w:bookmarkStart w:id="8" w:name="_Toc28359089"/>
      <w:bookmarkStart w:id="9" w:name="_Toc36048415"/>
      <w:bookmarkStart w:id="10" w:name="_Toc36825024"/>
      <w:r>
        <w:rPr>
          <w:rFonts w:hint="eastAsia" w:ascii="宋体" w:hAnsi="宋体"/>
          <w:b/>
          <w:kern w:val="2"/>
          <w:sz w:val="21"/>
          <w:szCs w:val="21"/>
        </w:rPr>
        <w:t>一、项目基本情况</w:t>
      </w:r>
      <w:bookmarkEnd w:id="5"/>
      <w:bookmarkEnd w:id="6"/>
      <w:bookmarkEnd w:id="7"/>
      <w:bookmarkEnd w:id="8"/>
      <w:bookmarkEnd w:id="9"/>
      <w:bookmarkEnd w:id="10"/>
    </w:p>
    <w:p>
      <w:pPr>
        <w:adjustRightInd/>
        <w:spacing w:line="460" w:lineRule="exact"/>
        <w:ind w:firstLine="420" w:firstLineChars="200"/>
        <w:jc w:val="both"/>
        <w:textAlignment w:val="auto"/>
        <w:rPr>
          <w:rFonts w:ascii="宋体" w:hAnsi="宋体"/>
          <w:kern w:val="2"/>
          <w:sz w:val="21"/>
          <w:szCs w:val="21"/>
        </w:rPr>
      </w:pPr>
      <w:r>
        <w:rPr>
          <w:rFonts w:hint="eastAsia" w:ascii="宋体" w:hAnsi="宋体"/>
          <w:kern w:val="2"/>
          <w:sz w:val="21"/>
          <w:szCs w:val="21"/>
        </w:rPr>
        <w:t>项目编号：</w:t>
      </w:r>
      <w:r>
        <w:rPr>
          <w:rFonts w:hint="eastAsia" w:ascii="宋体" w:hAnsi="宋体"/>
          <w:kern w:val="2"/>
          <w:sz w:val="21"/>
          <w:szCs w:val="21"/>
          <w:lang w:val="en-US" w:eastAsia="zh-CN"/>
        </w:rPr>
        <w:t>TYH-2021-001</w:t>
      </w:r>
      <w:r>
        <w:rPr>
          <w:rFonts w:ascii="宋体" w:hAnsi="宋体"/>
          <w:kern w:val="2"/>
          <w:sz w:val="21"/>
          <w:szCs w:val="21"/>
        </w:rPr>
        <w:t xml:space="preserve"> </w:t>
      </w:r>
    </w:p>
    <w:p>
      <w:pPr>
        <w:adjustRightInd/>
        <w:spacing w:line="460" w:lineRule="exact"/>
        <w:ind w:firstLine="420" w:firstLineChars="200"/>
        <w:jc w:val="both"/>
        <w:textAlignment w:val="auto"/>
        <w:rPr>
          <w:rFonts w:ascii="宋体" w:hAnsi="宋体"/>
          <w:kern w:val="2"/>
          <w:sz w:val="21"/>
          <w:szCs w:val="21"/>
        </w:rPr>
      </w:pPr>
      <w:r>
        <w:rPr>
          <w:rFonts w:hint="eastAsia" w:ascii="宋体" w:hAnsi="宋体"/>
          <w:kern w:val="2"/>
          <w:sz w:val="21"/>
          <w:szCs w:val="21"/>
        </w:rPr>
        <w:t>项目名称：</w:t>
      </w:r>
      <w:r>
        <w:rPr>
          <w:rFonts w:hint="eastAsia" w:ascii="宋体" w:hAnsi="宋体" w:cs="Times New Roman"/>
          <w:kern w:val="2"/>
          <w:sz w:val="21"/>
          <w:szCs w:val="21"/>
          <w:lang w:val="zh-CN" w:eastAsia="zh-CN"/>
        </w:rPr>
        <w:t>湖北唐崖河风景名胜区黄金洞景区</w:t>
      </w:r>
      <w:r>
        <w:rPr>
          <w:rFonts w:hint="eastAsia" w:ascii="宋体" w:hAnsi="宋体" w:cs="Times New Roman"/>
          <w:kern w:val="2"/>
          <w:sz w:val="21"/>
          <w:szCs w:val="21"/>
          <w:lang w:val="en-US" w:eastAsia="zh-CN"/>
        </w:rPr>
        <w:t>电子票务系统采购项目</w:t>
      </w:r>
    </w:p>
    <w:p>
      <w:pPr>
        <w:adjustRightInd/>
        <w:spacing w:line="460" w:lineRule="exact"/>
        <w:ind w:firstLine="420" w:firstLineChars="200"/>
        <w:jc w:val="both"/>
        <w:textAlignment w:val="auto"/>
        <w:rPr>
          <w:rFonts w:ascii="宋体" w:hAnsi="宋体"/>
          <w:kern w:val="2"/>
          <w:sz w:val="21"/>
          <w:szCs w:val="21"/>
        </w:rPr>
      </w:pPr>
      <w:r>
        <w:rPr>
          <w:rFonts w:hint="eastAsia" w:ascii="宋体" w:hAnsi="宋体"/>
          <w:kern w:val="2"/>
          <w:sz w:val="21"/>
          <w:szCs w:val="21"/>
        </w:rPr>
        <w:t>采购方式：竞争性磋商</w:t>
      </w:r>
    </w:p>
    <w:p>
      <w:pPr>
        <w:adjustRightInd/>
        <w:spacing w:line="460" w:lineRule="exact"/>
        <w:ind w:firstLine="420" w:firstLineChars="200"/>
        <w:jc w:val="both"/>
        <w:textAlignment w:val="auto"/>
        <w:rPr>
          <w:rFonts w:ascii="宋体" w:hAnsi="宋体"/>
          <w:kern w:val="2"/>
          <w:sz w:val="21"/>
          <w:szCs w:val="21"/>
        </w:rPr>
      </w:pPr>
      <w:r>
        <w:rPr>
          <w:rFonts w:hint="eastAsia" w:ascii="宋体" w:hAnsi="宋体"/>
          <w:kern w:val="2"/>
          <w:sz w:val="21"/>
          <w:szCs w:val="21"/>
        </w:rPr>
        <w:t>采购需求：</w:t>
      </w:r>
      <w:r>
        <w:rPr>
          <w:rFonts w:hint="eastAsia" w:ascii="宋体" w:hAnsi="宋体" w:cs="Times New Roman"/>
          <w:kern w:val="2"/>
          <w:sz w:val="21"/>
          <w:szCs w:val="21"/>
          <w:lang w:val="zh-CN" w:eastAsia="zh-CN"/>
        </w:rPr>
        <w:t>景区</w:t>
      </w:r>
      <w:r>
        <w:rPr>
          <w:rFonts w:hint="eastAsia" w:ascii="宋体" w:hAnsi="宋体" w:cs="Times New Roman"/>
          <w:kern w:val="2"/>
          <w:sz w:val="21"/>
          <w:szCs w:val="21"/>
          <w:lang w:val="en-US" w:eastAsia="zh-CN"/>
        </w:rPr>
        <w:t>电子票务系统</w:t>
      </w:r>
      <w:r>
        <w:rPr>
          <w:rFonts w:hint="eastAsia" w:ascii="宋体" w:hAnsi="宋体"/>
          <w:sz w:val="21"/>
          <w:szCs w:val="21"/>
        </w:rPr>
        <w:t>，具体采购需求详见“第五章 磋商内容及要求”</w:t>
      </w:r>
    </w:p>
    <w:p>
      <w:pPr>
        <w:adjustRightInd/>
        <w:spacing w:line="460" w:lineRule="exact"/>
        <w:ind w:firstLine="420" w:firstLineChars="200"/>
        <w:jc w:val="both"/>
        <w:textAlignment w:val="auto"/>
        <w:rPr>
          <w:rFonts w:ascii="宋体" w:hAnsi="宋体" w:cs="新宋体"/>
          <w:kern w:val="2"/>
          <w:sz w:val="21"/>
          <w:szCs w:val="21"/>
        </w:rPr>
      </w:pPr>
      <w:r>
        <w:rPr>
          <w:rFonts w:hint="eastAsia" w:ascii="宋体" w:hAnsi="宋体"/>
          <w:kern w:val="2"/>
          <w:sz w:val="21"/>
          <w:szCs w:val="21"/>
        </w:rPr>
        <w:t>预算金额：</w:t>
      </w:r>
      <w:r>
        <w:rPr>
          <w:rFonts w:hint="eastAsia" w:ascii="宋体" w:hAnsi="宋体"/>
          <w:color w:val="FF0000"/>
          <w:kern w:val="2"/>
          <w:sz w:val="21"/>
          <w:szCs w:val="21"/>
          <w:lang w:val="en-US" w:eastAsia="zh-CN"/>
        </w:rPr>
        <w:t>303,188.41</w:t>
      </w:r>
      <w:bookmarkStart w:id="64" w:name="_GoBack"/>
      <w:bookmarkEnd w:id="64"/>
      <w:r>
        <w:rPr>
          <w:rFonts w:hint="eastAsia" w:ascii="宋体" w:hAnsi="宋体"/>
          <w:bCs/>
          <w:kern w:val="2"/>
          <w:sz w:val="21"/>
          <w:szCs w:val="21"/>
        </w:rPr>
        <w:t>万元，</w:t>
      </w:r>
      <w:r>
        <w:rPr>
          <w:rFonts w:ascii="宋体" w:hAnsi="宋体" w:cs="新宋体"/>
          <w:kern w:val="2"/>
          <w:sz w:val="21"/>
          <w:szCs w:val="21"/>
        </w:rPr>
        <w:t>超过</w:t>
      </w:r>
      <w:r>
        <w:rPr>
          <w:rFonts w:hint="eastAsia" w:ascii="宋体" w:hAnsi="宋体"/>
          <w:kern w:val="2"/>
          <w:sz w:val="21"/>
          <w:szCs w:val="21"/>
        </w:rPr>
        <w:t>预算金额</w:t>
      </w:r>
      <w:r>
        <w:rPr>
          <w:rFonts w:ascii="宋体" w:hAnsi="宋体" w:cs="新宋体"/>
          <w:kern w:val="2"/>
          <w:sz w:val="21"/>
          <w:szCs w:val="21"/>
        </w:rPr>
        <w:t>将作</w:t>
      </w:r>
      <w:r>
        <w:rPr>
          <w:rFonts w:ascii="宋体" w:hAnsi="宋体" w:cs="新宋体"/>
          <w:b/>
          <w:kern w:val="2"/>
          <w:sz w:val="21"/>
          <w:szCs w:val="21"/>
        </w:rPr>
        <w:t>无效</w:t>
      </w:r>
      <w:r>
        <w:rPr>
          <w:rFonts w:hint="eastAsia" w:ascii="宋体" w:hAnsi="宋体" w:cs="新宋体"/>
          <w:b/>
          <w:kern w:val="2"/>
          <w:sz w:val="21"/>
          <w:szCs w:val="21"/>
        </w:rPr>
        <w:t>响应</w:t>
      </w:r>
      <w:r>
        <w:rPr>
          <w:rFonts w:ascii="宋体" w:hAnsi="宋体" w:cs="新宋体"/>
          <w:b/>
          <w:kern w:val="2"/>
          <w:sz w:val="21"/>
          <w:szCs w:val="21"/>
        </w:rPr>
        <w:t>处理</w:t>
      </w:r>
      <w:r>
        <w:rPr>
          <w:rFonts w:hint="eastAsia" w:ascii="宋体" w:hAnsi="宋体" w:cs="新宋体"/>
          <w:kern w:val="2"/>
          <w:sz w:val="21"/>
          <w:szCs w:val="21"/>
        </w:rPr>
        <w:t>。</w:t>
      </w:r>
    </w:p>
    <w:p>
      <w:pPr>
        <w:adjustRightInd/>
        <w:spacing w:line="460" w:lineRule="exact"/>
        <w:ind w:firstLine="420" w:firstLineChars="200"/>
        <w:jc w:val="both"/>
        <w:textAlignment w:val="auto"/>
        <w:rPr>
          <w:rFonts w:ascii="宋体" w:hAnsi="宋体"/>
          <w:kern w:val="2"/>
          <w:sz w:val="21"/>
          <w:szCs w:val="21"/>
        </w:rPr>
      </w:pPr>
      <w:r>
        <w:rPr>
          <w:rFonts w:hint="eastAsia" w:ascii="宋体" w:hAnsi="宋体"/>
          <w:kern w:val="2"/>
          <w:sz w:val="21"/>
          <w:szCs w:val="21"/>
        </w:rPr>
        <w:t>合同履行期限：</w:t>
      </w:r>
      <w:r>
        <w:rPr>
          <w:rFonts w:hint="eastAsia" w:ascii="宋体" w:hAnsi="宋体"/>
          <w:sz w:val="21"/>
          <w:szCs w:val="21"/>
          <w:lang w:val="zh-CN"/>
        </w:rPr>
        <w:t>自</w:t>
      </w:r>
      <w:r>
        <w:rPr>
          <w:rFonts w:hint="eastAsia" w:ascii="宋体" w:hAnsi="宋体" w:cs="Times New Roman"/>
          <w:kern w:val="2"/>
          <w:sz w:val="21"/>
          <w:szCs w:val="21"/>
          <w:lang w:val="zh-CN" w:eastAsia="zh-CN"/>
        </w:rPr>
        <w:t>签订</w:t>
      </w:r>
      <w:r>
        <w:rPr>
          <w:rFonts w:hint="eastAsia" w:ascii="宋体" w:hAnsi="宋体"/>
          <w:sz w:val="21"/>
          <w:szCs w:val="21"/>
          <w:lang w:val="zh-CN"/>
        </w:rPr>
        <w:t>合同之日起</w:t>
      </w:r>
      <w:r>
        <w:rPr>
          <w:rFonts w:hint="eastAsia" w:ascii="宋体" w:hAnsi="宋体"/>
          <w:sz w:val="21"/>
          <w:szCs w:val="21"/>
          <w:lang w:val="en-US" w:eastAsia="zh-CN"/>
        </w:rPr>
        <w:t>20</w:t>
      </w:r>
      <w:r>
        <w:rPr>
          <w:rFonts w:hint="eastAsia" w:ascii="宋体" w:hAnsi="宋体"/>
          <w:sz w:val="21"/>
          <w:szCs w:val="21"/>
          <w:lang w:val="zh-CN"/>
        </w:rPr>
        <w:t>个日历日内到货，并安装调试完成通过采购人验收</w:t>
      </w:r>
    </w:p>
    <w:p>
      <w:pPr>
        <w:adjustRightInd/>
        <w:spacing w:line="460" w:lineRule="exact"/>
        <w:ind w:firstLine="420" w:firstLineChars="200"/>
        <w:jc w:val="both"/>
        <w:textAlignment w:val="auto"/>
        <w:rPr>
          <w:rFonts w:ascii="宋体" w:hAnsi="宋体"/>
          <w:kern w:val="2"/>
          <w:sz w:val="21"/>
          <w:szCs w:val="21"/>
        </w:rPr>
      </w:pPr>
      <w:r>
        <w:rPr>
          <w:rFonts w:hint="eastAsia" w:ascii="宋体" w:hAnsi="宋体"/>
          <w:kern w:val="2"/>
          <w:sz w:val="21"/>
          <w:szCs w:val="21"/>
        </w:rPr>
        <w:t>本项目不接受联合体</w:t>
      </w:r>
      <w:bookmarkStart w:id="11" w:name="_Toc36825025"/>
      <w:bookmarkStart w:id="12" w:name="_Toc36048416"/>
      <w:bookmarkStart w:id="13" w:name="_Toc28359090"/>
      <w:bookmarkStart w:id="14" w:name="_Toc35393630"/>
      <w:bookmarkStart w:id="15" w:name="_Toc35393799"/>
      <w:bookmarkStart w:id="16" w:name="_Toc28359013"/>
    </w:p>
    <w:p>
      <w:pPr>
        <w:adjustRightInd/>
        <w:spacing w:line="460" w:lineRule="exact"/>
        <w:ind w:firstLine="422" w:firstLineChars="200"/>
        <w:jc w:val="both"/>
        <w:textAlignment w:val="auto"/>
        <w:rPr>
          <w:rFonts w:ascii="宋体" w:hAnsi="宋体"/>
          <w:b/>
          <w:kern w:val="2"/>
          <w:sz w:val="21"/>
          <w:szCs w:val="21"/>
        </w:rPr>
      </w:pPr>
      <w:r>
        <w:rPr>
          <w:rFonts w:hint="eastAsia" w:ascii="宋体" w:hAnsi="宋体"/>
          <w:b/>
          <w:kern w:val="2"/>
          <w:sz w:val="21"/>
          <w:szCs w:val="21"/>
        </w:rPr>
        <w:t>二、申请人的资格要求：</w:t>
      </w:r>
      <w:bookmarkEnd w:id="11"/>
      <w:bookmarkEnd w:id="12"/>
      <w:bookmarkEnd w:id="13"/>
      <w:bookmarkEnd w:id="14"/>
      <w:bookmarkEnd w:id="15"/>
      <w:bookmarkEnd w:id="16"/>
      <w:bookmarkStart w:id="17" w:name="_Toc35393631"/>
      <w:bookmarkStart w:id="18" w:name="_Toc35393800"/>
      <w:bookmarkStart w:id="19" w:name="_Toc36048417"/>
      <w:bookmarkStart w:id="20" w:name="_Toc36825026"/>
      <w:bookmarkStart w:id="21" w:name="_Toc28359014"/>
      <w:bookmarkStart w:id="22" w:name="_Toc28359091"/>
    </w:p>
    <w:p>
      <w:pPr>
        <w:adjustRightInd/>
        <w:spacing w:line="460" w:lineRule="exact"/>
        <w:ind w:firstLine="420" w:firstLineChars="200"/>
        <w:jc w:val="both"/>
        <w:textAlignment w:val="auto"/>
        <w:rPr>
          <w:rFonts w:ascii="宋体" w:hAnsi="宋体"/>
          <w:sz w:val="21"/>
          <w:szCs w:val="21"/>
        </w:rPr>
      </w:pPr>
      <w:r>
        <w:rPr>
          <w:rFonts w:hint="eastAsia" w:ascii="宋体" w:hAnsi="宋体"/>
          <w:sz w:val="21"/>
          <w:szCs w:val="21"/>
        </w:rPr>
        <w:t>1.满足《中华人民共和国政府采购法》第二十二条规定；</w:t>
      </w:r>
    </w:p>
    <w:p>
      <w:pPr>
        <w:spacing w:line="460" w:lineRule="exact"/>
        <w:ind w:firstLine="420" w:firstLineChars="200"/>
        <w:rPr>
          <w:rFonts w:ascii="宋体" w:hAnsi="宋体"/>
          <w:sz w:val="21"/>
          <w:szCs w:val="21"/>
        </w:rPr>
      </w:pPr>
      <w:r>
        <w:rPr>
          <w:rFonts w:hint="eastAsia" w:ascii="宋体" w:hAnsi="宋体"/>
          <w:sz w:val="21"/>
          <w:szCs w:val="21"/>
        </w:rPr>
        <w:t>2.本项目的特定资格要求：</w:t>
      </w:r>
    </w:p>
    <w:p>
      <w:pPr>
        <w:spacing w:line="4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供应商须具备</w:t>
      </w:r>
      <w:r>
        <w:rPr>
          <w:rFonts w:hint="eastAsia" w:ascii="宋体" w:hAnsi="宋体"/>
          <w:sz w:val="21"/>
          <w:szCs w:val="21"/>
        </w:rPr>
        <w:t>有效的营业执照；</w:t>
      </w:r>
    </w:p>
    <w:p>
      <w:pPr>
        <w:spacing w:line="460" w:lineRule="exact"/>
        <w:ind w:firstLine="420" w:firstLineChars="200"/>
        <w:rPr>
          <w:rFonts w:ascii="宋体" w:hAnsi="宋体"/>
          <w:kern w:val="2"/>
          <w:sz w:val="21"/>
          <w:szCs w:val="21"/>
        </w:rPr>
      </w:pPr>
      <w:r>
        <w:rPr>
          <w:rFonts w:hint="eastAsia" w:ascii="宋体" w:hAnsi="宋体"/>
          <w:sz w:val="21"/>
          <w:szCs w:val="21"/>
        </w:rPr>
        <w:t>（2）</w:t>
      </w:r>
      <w:r>
        <w:rPr>
          <w:rFonts w:ascii="宋体" w:hAnsi="宋体"/>
          <w:sz w:val="21"/>
          <w:szCs w:val="21"/>
        </w:rPr>
        <w:t>供应商未被列入信用中国 (www.creditchina.gov.cn)</w:t>
      </w:r>
      <w:r>
        <w:rPr>
          <w:rFonts w:hint="eastAsia" w:ascii="宋体" w:hAnsi="宋体"/>
          <w:sz w:val="21"/>
          <w:szCs w:val="21"/>
        </w:rPr>
        <w:t xml:space="preserve"> 失信惩戒名单</w:t>
      </w:r>
      <w:r>
        <w:rPr>
          <w:rFonts w:ascii="宋体" w:hAnsi="宋体"/>
          <w:sz w:val="21"/>
          <w:szCs w:val="21"/>
        </w:rPr>
        <w:t>、中国政府采购网(</w:t>
      </w:r>
      <w:r>
        <w:fldChar w:fldCharType="begin"/>
      </w:r>
      <w:r>
        <w:instrText xml:space="preserve"> HYPERLINK "http://www.ccgp.gov.cn/" </w:instrText>
      </w:r>
      <w:r>
        <w:fldChar w:fldCharType="separate"/>
      </w:r>
      <w:r>
        <w:rPr>
          <w:rFonts w:ascii="宋体" w:hAnsi="宋体"/>
          <w:sz w:val="21"/>
          <w:szCs w:val="21"/>
        </w:rPr>
        <w:t>www.ccgp.gov.cn</w:t>
      </w:r>
      <w:r>
        <w:rPr>
          <w:rFonts w:ascii="宋体" w:hAnsi="宋体"/>
          <w:sz w:val="21"/>
          <w:szCs w:val="21"/>
        </w:rPr>
        <w:fldChar w:fldCharType="end"/>
      </w:r>
      <w:r>
        <w:rPr>
          <w:rFonts w:ascii="宋体" w:hAnsi="宋体"/>
          <w:sz w:val="21"/>
          <w:szCs w:val="21"/>
        </w:rPr>
        <w:t>)政府</w:t>
      </w:r>
      <w:r>
        <w:rPr>
          <w:rFonts w:hint="eastAsia" w:ascii="宋体" w:hAnsi="宋体"/>
          <w:sz w:val="21"/>
          <w:szCs w:val="21"/>
        </w:rPr>
        <w:t>采购</w:t>
      </w:r>
      <w:r>
        <w:rPr>
          <w:rFonts w:ascii="宋体" w:hAnsi="宋体"/>
          <w:sz w:val="21"/>
          <w:szCs w:val="21"/>
        </w:rPr>
        <w:t>严重违法失信行为记录名单</w:t>
      </w:r>
      <w:r>
        <w:rPr>
          <w:rFonts w:hint="eastAsia" w:ascii="宋体" w:hAnsi="宋体"/>
          <w:sz w:val="21"/>
          <w:szCs w:val="21"/>
        </w:rPr>
        <w:t>。（以响应截止日期当天磋商现场查询为准）</w:t>
      </w:r>
    </w:p>
    <w:p>
      <w:pPr>
        <w:adjustRightInd/>
        <w:spacing w:line="460" w:lineRule="exact"/>
        <w:ind w:firstLine="422" w:firstLineChars="200"/>
        <w:jc w:val="both"/>
        <w:textAlignment w:val="auto"/>
        <w:rPr>
          <w:rFonts w:hint="eastAsia" w:ascii="宋体" w:hAnsi="宋体" w:eastAsia="宋体"/>
          <w:b/>
          <w:kern w:val="2"/>
          <w:sz w:val="21"/>
          <w:szCs w:val="21"/>
          <w:lang w:val="en-US" w:eastAsia="zh-CN"/>
        </w:rPr>
      </w:pPr>
      <w:r>
        <w:rPr>
          <w:rFonts w:hint="eastAsia" w:ascii="宋体" w:hAnsi="宋体"/>
          <w:b/>
          <w:kern w:val="2"/>
          <w:sz w:val="21"/>
          <w:szCs w:val="21"/>
        </w:rPr>
        <w:t>三、</w:t>
      </w:r>
      <w:r>
        <w:rPr>
          <w:rFonts w:hint="eastAsia" w:ascii="宋体" w:hAnsi="宋体"/>
          <w:b/>
          <w:kern w:val="2"/>
          <w:sz w:val="21"/>
          <w:szCs w:val="21"/>
          <w:lang w:eastAsia="zh-CN"/>
        </w:rPr>
        <w:t>投标</w:t>
      </w:r>
      <w:r>
        <w:rPr>
          <w:rFonts w:hint="eastAsia" w:ascii="宋体" w:hAnsi="宋体"/>
          <w:b/>
          <w:kern w:val="2"/>
          <w:sz w:val="21"/>
          <w:szCs w:val="21"/>
        </w:rPr>
        <w:t>文件</w:t>
      </w:r>
      <w:bookmarkEnd w:id="17"/>
      <w:bookmarkEnd w:id="18"/>
      <w:bookmarkEnd w:id="19"/>
      <w:bookmarkEnd w:id="20"/>
      <w:bookmarkEnd w:id="21"/>
      <w:bookmarkEnd w:id="22"/>
      <w:r>
        <w:rPr>
          <w:rFonts w:hint="eastAsia" w:ascii="宋体" w:hAnsi="宋体"/>
          <w:b/>
          <w:kern w:val="2"/>
          <w:sz w:val="21"/>
          <w:szCs w:val="21"/>
          <w:lang w:eastAsia="zh-CN"/>
        </w:rPr>
        <w:t>的获取</w:t>
      </w:r>
    </w:p>
    <w:p>
      <w:pPr>
        <w:adjustRightInd/>
        <w:spacing w:line="460" w:lineRule="exact"/>
        <w:ind w:firstLine="420" w:firstLineChars="200"/>
        <w:jc w:val="both"/>
        <w:textAlignment w:val="auto"/>
        <w:rPr>
          <w:rFonts w:hint="eastAsia" w:ascii="宋体" w:hAnsi="宋体" w:cs="Times New Roman"/>
          <w:sz w:val="21"/>
          <w:szCs w:val="21"/>
        </w:rPr>
      </w:pPr>
      <w:r>
        <w:rPr>
          <w:rFonts w:hint="eastAsia" w:ascii="宋体" w:hAnsi="宋体" w:cs="Times New Roman"/>
          <w:sz w:val="21"/>
          <w:szCs w:val="21"/>
        </w:rPr>
        <w:t>1、凡有意参加投标者，请于202</w:t>
      </w:r>
      <w:r>
        <w:rPr>
          <w:rFonts w:hint="eastAsia" w:ascii="宋体" w:hAnsi="宋体" w:cs="Times New Roman"/>
          <w:sz w:val="21"/>
          <w:szCs w:val="21"/>
          <w:lang w:val="en-US" w:eastAsia="zh-CN"/>
        </w:rPr>
        <w:t>1</w:t>
      </w:r>
      <w:r>
        <w:rPr>
          <w:rFonts w:hint="eastAsia" w:ascii="宋体" w:hAnsi="宋体" w:cs="Times New Roman"/>
          <w:sz w:val="21"/>
          <w:szCs w:val="21"/>
        </w:rPr>
        <w:t>年</w:t>
      </w:r>
      <w:r>
        <w:rPr>
          <w:rFonts w:hint="eastAsia" w:ascii="宋体" w:hAnsi="宋体" w:cs="Times New Roman"/>
          <w:sz w:val="21"/>
          <w:szCs w:val="21"/>
          <w:lang w:val="en-US" w:eastAsia="zh-CN"/>
        </w:rPr>
        <w:t>1</w:t>
      </w:r>
      <w:r>
        <w:rPr>
          <w:rFonts w:hint="eastAsia" w:ascii="宋体" w:hAnsi="宋体" w:cs="Times New Roman"/>
          <w:sz w:val="21"/>
          <w:szCs w:val="21"/>
        </w:rPr>
        <w:t>月</w:t>
      </w:r>
      <w:r>
        <w:rPr>
          <w:rFonts w:hint="eastAsia" w:ascii="宋体" w:hAnsi="宋体" w:cs="Times New Roman"/>
          <w:sz w:val="21"/>
          <w:szCs w:val="21"/>
          <w:lang w:val="en-US" w:eastAsia="zh-CN"/>
        </w:rPr>
        <w:t>28</w:t>
      </w:r>
      <w:r>
        <w:rPr>
          <w:rFonts w:hint="eastAsia" w:ascii="宋体" w:hAnsi="宋体" w:cs="Times New Roman"/>
          <w:sz w:val="21"/>
          <w:szCs w:val="21"/>
        </w:rPr>
        <w:t>日至202</w:t>
      </w:r>
      <w:r>
        <w:rPr>
          <w:rFonts w:hint="eastAsia" w:ascii="宋体" w:hAnsi="宋体" w:cs="Times New Roman"/>
          <w:sz w:val="21"/>
          <w:szCs w:val="21"/>
          <w:lang w:val="en-US" w:eastAsia="zh-CN"/>
        </w:rPr>
        <w:t>1</w:t>
      </w:r>
      <w:r>
        <w:rPr>
          <w:rFonts w:hint="eastAsia" w:ascii="宋体" w:hAnsi="宋体" w:cs="Times New Roman"/>
          <w:sz w:val="21"/>
          <w:szCs w:val="21"/>
        </w:rPr>
        <w:t>年</w:t>
      </w:r>
      <w:r>
        <w:rPr>
          <w:rFonts w:hint="eastAsia" w:ascii="宋体" w:hAnsi="宋体" w:cs="Times New Roman"/>
          <w:sz w:val="21"/>
          <w:szCs w:val="21"/>
          <w:lang w:val="en-US" w:eastAsia="zh-CN"/>
        </w:rPr>
        <w:t>2</w:t>
      </w:r>
      <w:r>
        <w:rPr>
          <w:rFonts w:hint="eastAsia" w:ascii="宋体" w:hAnsi="宋体" w:cs="Times New Roman"/>
          <w:sz w:val="21"/>
          <w:szCs w:val="21"/>
        </w:rPr>
        <w:t>月</w:t>
      </w:r>
      <w:r>
        <w:rPr>
          <w:rFonts w:hint="eastAsia" w:ascii="宋体" w:hAnsi="宋体" w:cs="Times New Roman"/>
          <w:sz w:val="21"/>
          <w:szCs w:val="21"/>
          <w:lang w:val="en-US" w:eastAsia="zh-CN"/>
        </w:rPr>
        <w:t>3</w:t>
      </w:r>
      <w:r>
        <w:rPr>
          <w:rFonts w:hint="eastAsia" w:ascii="宋体" w:hAnsi="宋体" w:cs="Times New Roman"/>
          <w:sz w:val="21"/>
          <w:szCs w:val="21"/>
        </w:rPr>
        <w:t>日17时30分，登录玩转恩施网（http://www.1ztour.com/index.html）下载《投标单位报名表》登记报名并下载招标文件；</w:t>
      </w:r>
    </w:p>
    <w:p>
      <w:pPr>
        <w:adjustRightInd/>
        <w:spacing w:line="460" w:lineRule="exact"/>
        <w:ind w:firstLine="420" w:firstLineChars="200"/>
        <w:jc w:val="both"/>
        <w:textAlignment w:val="auto"/>
        <w:rPr>
          <w:rFonts w:hint="eastAsia" w:ascii="宋体" w:hAnsi="宋体" w:cs="Times New Roman"/>
          <w:sz w:val="21"/>
          <w:szCs w:val="21"/>
        </w:rPr>
      </w:pPr>
      <w:r>
        <w:rPr>
          <w:rFonts w:hint="eastAsia" w:ascii="宋体" w:hAnsi="宋体" w:cs="Times New Roman"/>
          <w:sz w:val="21"/>
          <w:szCs w:val="21"/>
        </w:rPr>
        <w:t>2、投标人填写完整《投标单位报名表》并加盖投标人公章后，将报名表扫描件（PDF格式）在报名期限内发于招标人电子邮箱（</w:t>
      </w:r>
      <w:r>
        <w:rPr>
          <w:rFonts w:hint="eastAsia" w:ascii="宋体" w:hAnsi="宋体" w:cs="Times New Roman"/>
          <w:sz w:val="21"/>
          <w:szCs w:val="21"/>
        </w:rPr>
        <w:fldChar w:fldCharType="begin"/>
      </w:r>
      <w:r>
        <w:rPr>
          <w:rFonts w:hint="eastAsia" w:ascii="宋体" w:hAnsi="宋体" w:cs="Times New Roman"/>
          <w:sz w:val="21"/>
          <w:szCs w:val="21"/>
        </w:rPr>
        <w:instrText xml:space="preserve"> HYPERLINK "mailto:51329203@qq.com" </w:instrText>
      </w:r>
      <w:r>
        <w:rPr>
          <w:rFonts w:hint="eastAsia" w:ascii="宋体" w:hAnsi="宋体" w:cs="Times New Roman"/>
          <w:sz w:val="21"/>
          <w:szCs w:val="21"/>
        </w:rPr>
        <w:fldChar w:fldCharType="separate"/>
      </w:r>
      <w:r>
        <w:rPr>
          <w:rFonts w:hint="eastAsia" w:ascii="宋体" w:hAnsi="宋体" w:cs="Times New Roman"/>
          <w:sz w:val="21"/>
          <w:szCs w:val="21"/>
          <w:lang w:val="en-US" w:eastAsia="zh-CN"/>
        </w:rPr>
        <w:t>907746281</w:t>
      </w:r>
      <w:r>
        <w:rPr>
          <w:rFonts w:hint="eastAsia" w:ascii="宋体" w:hAnsi="宋体" w:cs="Times New Roman"/>
          <w:sz w:val="21"/>
          <w:szCs w:val="21"/>
        </w:rPr>
        <w:t>@qq.com</w:t>
      </w:r>
      <w:r>
        <w:rPr>
          <w:rFonts w:hint="eastAsia" w:ascii="宋体" w:hAnsi="宋体" w:cs="Times New Roman"/>
          <w:sz w:val="21"/>
          <w:szCs w:val="21"/>
        </w:rPr>
        <w:fldChar w:fldCharType="end"/>
      </w:r>
      <w:r>
        <w:rPr>
          <w:rFonts w:hint="eastAsia" w:ascii="宋体" w:hAnsi="宋体" w:cs="Times New Roman"/>
          <w:sz w:val="21"/>
          <w:szCs w:val="21"/>
        </w:rPr>
        <w:t>）；</w:t>
      </w:r>
    </w:p>
    <w:p>
      <w:pPr>
        <w:adjustRightInd/>
        <w:spacing w:line="460" w:lineRule="exact"/>
        <w:ind w:firstLine="420" w:firstLineChars="200"/>
        <w:jc w:val="both"/>
        <w:textAlignment w:val="auto"/>
        <w:rPr>
          <w:rFonts w:hint="eastAsia" w:ascii="宋体" w:hAnsi="宋体" w:cs="Times New Roman"/>
          <w:sz w:val="21"/>
          <w:szCs w:val="21"/>
        </w:rPr>
      </w:pPr>
      <w:r>
        <w:rPr>
          <w:rFonts w:hint="eastAsia" w:ascii="宋体" w:hAnsi="宋体" w:cs="Times New Roman"/>
          <w:sz w:val="21"/>
          <w:szCs w:val="21"/>
        </w:rPr>
        <w:t>3、未报名及超出报名期限的投标无效。</w:t>
      </w:r>
    </w:p>
    <w:p>
      <w:pPr>
        <w:spacing w:line="560" w:lineRule="exact"/>
        <w:ind w:firstLine="422" w:firstLineChars="200"/>
        <w:jc w:val="left"/>
        <w:rPr>
          <w:rFonts w:hint="eastAsia" w:ascii="宋体" w:hAnsi="宋体" w:cs="Times New Roman"/>
          <w:b/>
          <w:kern w:val="2"/>
          <w:sz w:val="21"/>
          <w:szCs w:val="21"/>
        </w:rPr>
      </w:pPr>
      <w:bookmarkStart w:id="23" w:name="_Toc36048418"/>
      <w:bookmarkStart w:id="24" w:name="_Toc28359015"/>
      <w:bookmarkStart w:id="25" w:name="_Toc35393801"/>
      <w:bookmarkStart w:id="26" w:name="_Toc35393632"/>
      <w:bookmarkStart w:id="27" w:name="_Toc28359092"/>
      <w:r>
        <w:rPr>
          <w:rFonts w:hint="eastAsia" w:ascii="宋体" w:hAnsi="宋体"/>
          <w:b/>
          <w:kern w:val="2"/>
          <w:sz w:val="21"/>
          <w:szCs w:val="21"/>
        </w:rPr>
        <w:t>四、</w:t>
      </w:r>
      <w:bookmarkEnd w:id="23"/>
      <w:bookmarkEnd w:id="24"/>
      <w:bookmarkEnd w:id="25"/>
      <w:bookmarkEnd w:id="26"/>
      <w:bookmarkEnd w:id="27"/>
      <w:r>
        <w:rPr>
          <w:rFonts w:hint="eastAsia" w:ascii="宋体" w:hAnsi="宋体" w:cs="Times New Roman"/>
          <w:b/>
          <w:kern w:val="2"/>
          <w:sz w:val="21"/>
          <w:szCs w:val="21"/>
        </w:rPr>
        <w:t>投标文件递交截止时间</w:t>
      </w:r>
    </w:p>
    <w:p>
      <w:pPr>
        <w:adjustRightInd/>
        <w:spacing w:line="460" w:lineRule="exact"/>
        <w:ind w:firstLine="420" w:firstLineChars="200"/>
        <w:jc w:val="both"/>
        <w:textAlignment w:val="auto"/>
        <w:rPr>
          <w:rFonts w:hint="eastAsia" w:ascii="宋体" w:hAnsi="宋体" w:cs="Times New Roman"/>
          <w:sz w:val="21"/>
          <w:szCs w:val="21"/>
          <w:lang w:eastAsia="zh-CN"/>
        </w:rPr>
      </w:pPr>
      <w:r>
        <w:rPr>
          <w:rFonts w:hint="eastAsia" w:ascii="宋体" w:hAnsi="宋体" w:cs="Times New Roman"/>
          <w:sz w:val="21"/>
          <w:szCs w:val="21"/>
        </w:rPr>
        <w:t>202</w:t>
      </w:r>
      <w:r>
        <w:rPr>
          <w:rFonts w:hint="eastAsia" w:ascii="宋体" w:hAnsi="宋体" w:cs="Times New Roman"/>
          <w:sz w:val="21"/>
          <w:szCs w:val="21"/>
          <w:lang w:val="en-US" w:eastAsia="zh-CN"/>
        </w:rPr>
        <w:t>1</w:t>
      </w:r>
      <w:r>
        <w:rPr>
          <w:rFonts w:hint="eastAsia" w:ascii="宋体" w:hAnsi="宋体" w:cs="Times New Roman"/>
          <w:sz w:val="21"/>
          <w:szCs w:val="21"/>
        </w:rPr>
        <w:t>年</w:t>
      </w:r>
      <w:r>
        <w:rPr>
          <w:rFonts w:hint="eastAsia" w:ascii="宋体" w:hAnsi="宋体" w:cs="Times New Roman"/>
          <w:sz w:val="21"/>
          <w:szCs w:val="21"/>
          <w:lang w:val="en-US" w:eastAsia="zh-CN"/>
        </w:rPr>
        <w:t>2</w:t>
      </w:r>
      <w:r>
        <w:rPr>
          <w:rFonts w:hint="eastAsia" w:ascii="宋体" w:hAnsi="宋体" w:cs="Times New Roman"/>
          <w:sz w:val="21"/>
          <w:szCs w:val="21"/>
        </w:rPr>
        <w:t>月</w:t>
      </w:r>
      <w:r>
        <w:rPr>
          <w:rFonts w:hint="eastAsia" w:ascii="宋体" w:hAnsi="宋体" w:cs="Times New Roman"/>
          <w:sz w:val="21"/>
          <w:szCs w:val="21"/>
          <w:lang w:val="en-US" w:eastAsia="zh-CN"/>
        </w:rPr>
        <w:t>4</w:t>
      </w:r>
      <w:r>
        <w:rPr>
          <w:rFonts w:hint="eastAsia" w:ascii="宋体" w:hAnsi="宋体" w:cs="Times New Roman"/>
          <w:sz w:val="21"/>
          <w:szCs w:val="21"/>
        </w:rPr>
        <w:t>日10时00分。地点：</w:t>
      </w:r>
      <w:r>
        <w:rPr>
          <w:rFonts w:hint="eastAsia" w:ascii="宋体" w:hAnsi="宋体" w:cs="Times New Roman"/>
          <w:sz w:val="21"/>
          <w:szCs w:val="21"/>
          <w:lang w:eastAsia="zh-CN"/>
        </w:rPr>
        <w:t>咸丰县唐崖河景区综合办公室</w:t>
      </w:r>
    </w:p>
    <w:p>
      <w:pPr>
        <w:adjustRightInd/>
        <w:spacing w:line="460" w:lineRule="exact"/>
        <w:ind w:firstLine="422" w:firstLineChars="200"/>
        <w:jc w:val="both"/>
        <w:textAlignment w:val="auto"/>
        <w:rPr>
          <w:rFonts w:hint="eastAsia" w:ascii="宋体" w:hAnsi="宋体" w:eastAsia="宋体"/>
          <w:b/>
          <w:kern w:val="2"/>
          <w:sz w:val="21"/>
          <w:szCs w:val="21"/>
          <w:lang w:eastAsia="zh-CN"/>
        </w:rPr>
      </w:pPr>
      <w:bookmarkStart w:id="28" w:name="_Toc36048420"/>
      <w:bookmarkStart w:id="29" w:name="_Toc28359017"/>
      <w:bookmarkStart w:id="30" w:name="_Toc35393803"/>
      <w:bookmarkStart w:id="31" w:name="_Toc35393634"/>
      <w:bookmarkStart w:id="32" w:name="_Toc28359094"/>
      <w:r>
        <w:rPr>
          <w:rFonts w:hint="eastAsia" w:ascii="宋体" w:hAnsi="宋体"/>
          <w:b/>
          <w:kern w:val="2"/>
          <w:sz w:val="21"/>
          <w:szCs w:val="21"/>
          <w:lang w:eastAsia="zh-CN"/>
        </w:rPr>
        <w:t>五</w:t>
      </w:r>
      <w:r>
        <w:rPr>
          <w:rFonts w:hint="eastAsia" w:ascii="宋体" w:hAnsi="宋体"/>
          <w:b/>
          <w:kern w:val="2"/>
          <w:sz w:val="21"/>
          <w:szCs w:val="21"/>
        </w:rPr>
        <w:t>、</w:t>
      </w:r>
      <w:bookmarkEnd w:id="28"/>
      <w:bookmarkEnd w:id="29"/>
      <w:bookmarkEnd w:id="30"/>
      <w:bookmarkEnd w:id="31"/>
      <w:bookmarkEnd w:id="32"/>
      <w:r>
        <w:rPr>
          <w:rFonts w:hint="eastAsia" w:ascii="宋体" w:hAnsi="宋体"/>
          <w:b/>
          <w:kern w:val="2"/>
          <w:sz w:val="21"/>
          <w:szCs w:val="21"/>
          <w:lang w:eastAsia="zh-CN"/>
        </w:rPr>
        <w:t>资格审查方式</w:t>
      </w:r>
    </w:p>
    <w:p>
      <w:pPr>
        <w:adjustRightInd/>
        <w:spacing w:line="460" w:lineRule="exact"/>
        <w:ind w:firstLine="420" w:firstLineChars="200"/>
        <w:jc w:val="both"/>
        <w:textAlignment w:val="auto"/>
        <w:rPr>
          <w:rFonts w:hint="eastAsia" w:ascii="宋体" w:hAnsi="宋体" w:cs="Times New Roman"/>
          <w:sz w:val="21"/>
          <w:szCs w:val="21"/>
        </w:rPr>
      </w:pPr>
      <w:r>
        <w:rPr>
          <w:rFonts w:hint="eastAsia" w:ascii="宋体" w:hAnsi="宋体" w:cs="Times New Roman"/>
          <w:sz w:val="21"/>
          <w:szCs w:val="21"/>
        </w:rPr>
        <w:t>本项目采用资格后审</w:t>
      </w:r>
    </w:p>
    <w:p>
      <w:pPr>
        <w:numPr>
          <w:ilvl w:val="0"/>
          <w:numId w:val="7"/>
        </w:numPr>
        <w:adjustRightInd/>
        <w:spacing w:line="460" w:lineRule="exact"/>
        <w:ind w:firstLine="422" w:firstLineChars="200"/>
        <w:jc w:val="both"/>
        <w:textAlignment w:val="auto"/>
        <w:rPr>
          <w:rFonts w:ascii="宋体" w:hAnsi="宋体"/>
          <w:b/>
          <w:kern w:val="2"/>
          <w:sz w:val="21"/>
          <w:szCs w:val="21"/>
        </w:rPr>
      </w:pPr>
      <w:r>
        <w:rPr>
          <w:rFonts w:hint="eastAsia" w:ascii="宋体" w:hAnsi="宋体" w:cs="Times New Roman"/>
          <w:b/>
          <w:kern w:val="2"/>
          <w:sz w:val="21"/>
          <w:szCs w:val="21"/>
          <w:lang w:eastAsia="zh-CN"/>
        </w:rPr>
        <w:t>公告发布媒介</w:t>
      </w:r>
    </w:p>
    <w:p>
      <w:pPr>
        <w:numPr>
          <w:ilvl w:val="0"/>
          <w:numId w:val="0"/>
        </w:numPr>
        <w:adjustRightInd/>
        <w:spacing w:line="460" w:lineRule="exact"/>
        <w:ind w:firstLine="480" w:firstLineChars="200"/>
        <w:jc w:val="both"/>
        <w:textAlignment w:val="auto"/>
        <w:rPr>
          <w:rFonts w:hint="eastAsia" w:ascii="宋体" w:hAnsi="宋体" w:cs="黑体"/>
          <w:color w:val="auto"/>
          <w:sz w:val="24"/>
          <w:szCs w:val="24"/>
        </w:rPr>
      </w:pPr>
      <w:r>
        <w:rPr>
          <w:rFonts w:hint="eastAsia" w:ascii="宋体" w:hAnsi="宋体"/>
          <w:color w:val="auto"/>
          <w:sz w:val="24"/>
          <w:szCs w:val="24"/>
        </w:rPr>
        <w:t>玩</w:t>
      </w:r>
      <w:r>
        <w:rPr>
          <w:rFonts w:hint="eastAsia" w:ascii="宋体" w:hAnsi="宋体" w:cs="黑体"/>
          <w:color w:val="auto"/>
          <w:sz w:val="24"/>
          <w:szCs w:val="24"/>
        </w:rPr>
        <w:t>转恩施网（</w:t>
      </w:r>
      <w:r>
        <w:rPr>
          <w:rFonts w:ascii="宋体" w:hAnsi="宋体" w:cs="黑体"/>
          <w:color w:val="auto"/>
          <w:sz w:val="24"/>
          <w:szCs w:val="24"/>
        </w:rPr>
        <w:t>http://www.1ztour.com/index.html</w:t>
      </w:r>
      <w:r>
        <w:rPr>
          <w:rFonts w:hint="eastAsia" w:ascii="宋体" w:hAnsi="宋体" w:cs="黑体"/>
          <w:color w:val="auto"/>
          <w:sz w:val="24"/>
          <w:szCs w:val="24"/>
        </w:rPr>
        <w:t>）。</w:t>
      </w:r>
      <w:bookmarkStart w:id="33" w:name="_Toc28359018"/>
      <w:bookmarkStart w:id="34" w:name="_Toc35393636"/>
      <w:bookmarkStart w:id="35" w:name="_Toc36048422"/>
      <w:bookmarkStart w:id="36" w:name="_Toc28359095"/>
      <w:bookmarkStart w:id="37" w:name="_Toc35393805"/>
    </w:p>
    <w:p>
      <w:pPr>
        <w:numPr>
          <w:ilvl w:val="0"/>
          <w:numId w:val="0"/>
        </w:numPr>
        <w:adjustRightInd/>
        <w:spacing w:line="460" w:lineRule="exact"/>
        <w:ind w:firstLine="422" w:firstLineChars="200"/>
        <w:jc w:val="both"/>
        <w:textAlignment w:val="auto"/>
        <w:rPr>
          <w:rFonts w:ascii="宋体" w:hAnsi="宋体"/>
          <w:b/>
          <w:kern w:val="2"/>
          <w:sz w:val="21"/>
          <w:szCs w:val="21"/>
        </w:rPr>
      </w:pPr>
      <w:r>
        <w:rPr>
          <w:rFonts w:hint="eastAsia" w:ascii="宋体" w:hAnsi="宋体"/>
          <w:b/>
          <w:kern w:val="2"/>
          <w:sz w:val="21"/>
          <w:szCs w:val="21"/>
          <w:lang w:eastAsia="zh-CN"/>
        </w:rPr>
        <w:t>七</w:t>
      </w:r>
      <w:r>
        <w:rPr>
          <w:rFonts w:hint="eastAsia" w:ascii="宋体" w:hAnsi="宋体"/>
          <w:b/>
          <w:kern w:val="2"/>
          <w:sz w:val="21"/>
          <w:szCs w:val="21"/>
        </w:rPr>
        <w:t>、凡对本次采购提出询问，请按</w:t>
      </w:r>
      <w:r>
        <w:rPr>
          <w:rFonts w:ascii="宋体" w:hAnsi="宋体"/>
          <w:b/>
          <w:kern w:val="2"/>
          <w:sz w:val="21"/>
          <w:szCs w:val="21"/>
        </w:rPr>
        <w:t>以下方式</w:t>
      </w:r>
      <w:r>
        <w:rPr>
          <w:rFonts w:hint="eastAsia" w:ascii="宋体" w:hAnsi="宋体"/>
          <w:b/>
          <w:kern w:val="2"/>
          <w:sz w:val="21"/>
          <w:szCs w:val="21"/>
        </w:rPr>
        <w:t>联系。</w:t>
      </w:r>
      <w:bookmarkEnd w:id="33"/>
      <w:bookmarkEnd w:id="34"/>
      <w:bookmarkEnd w:id="35"/>
      <w:bookmarkEnd w:id="36"/>
      <w:bookmarkEnd w:id="37"/>
    </w:p>
    <w:p>
      <w:pPr>
        <w:adjustRightInd/>
        <w:spacing w:line="460" w:lineRule="exact"/>
        <w:ind w:firstLine="420" w:firstLineChars="200"/>
        <w:jc w:val="both"/>
        <w:textAlignment w:val="auto"/>
        <w:rPr>
          <w:rFonts w:hint="eastAsia" w:ascii="宋体" w:hAnsi="宋体" w:eastAsia="宋体"/>
          <w:kern w:val="2"/>
          <w:sz w:val="21"/>
          <w:szCs w:val="21"/>
          <w:lang w:eastAsia="zh-CN"/>
        </w:rPr>
      </w:pPr>
      <w:r>
        <w:rPr>
          <w:rFonts w:hint="eastAsia" w:ascii="宋体" w:hAnsi="宋体"/>
          <w:kern w:val="2"/>
          <w:sz w:val="21"/>
          <w:szCs w:val="21"/>
        </w:rPr>
        <w:t>项目联系人：</w:t>
      </w:r>
      <w:r>
        <w:rPr>
          <w:rFonts w:hint="eastAsia" w:ascii="宋体" w:hAnsi="宋体"/>
          <w:kern w:val="2"/>
          <w:sz w:val="21"/>
          <w:szCs w:val="21"/>
          <w:lang w:eastAsia="zh-CN"/>
        </w:rPr>
        <w:t>姜先生</w:t>
      </w:r>
    </w:p>
    <w:p>
      <w:pPr>
        <w:spacing w:line="460" w:lineRule="exact"/>
        <w:ind w:firstLine="420" w:firstLineChars="200"/>
        <w:rPr>
          <w:rFonts w:hint="default" w:eastAsia="宋体"/>
          <w:lang w:val="en-US" w:eastAsia="zh-CN"/>
        </w:rPr>
      </w:pPr>
      <w:r>
        <w:rPr>
          <w:rFonts w:hint="eastAsia" w:ascii="宋体" w:hAnsi="宋体"/>
          <w:kern w:val="2"/>
          <w:sz w:val="21"/>
          <w:szCs w:val="21"/>
        </w:rPr>
        <w:t>电　　</w:t>
      </w:r>
      <w:r>
        <w:rPr>
          <w:rFonts w:hint="eastAsia" w:ascii="宋体" w:hAnsi="宋体"/>
          <w:kern w:val="2"/>
          <w:sz w:val="21"/>
          <w:szCs w:val="21"/>
          <w:lang w:val="en-US" w:eastAsia="zh-CN"/>
        </w:rPr>
        <w:t xml:space="preserve"> </w:t>
      </w:r>
      <w:r>
        <w:rPr>
          <w:rFonts w:hint="eastAsia" w:ascii="宋体" w:hAnsi="宋体"/>
          <w:kern w:val="2"/>
          <w:sz w:val="21"/>
          <w:szCs w:val="21"/>
        </w:rPr>
        <w:t xml:space="preserve"> 话：</w:t>
      </w:r>
      <w:r>
        <w:rPr>
          <w:rFonts w:hint="eastAsia" w:ascii="宋体" w:hAnsi="宋体"/>
          <w:kern w:val="2"/>
          <w:sz w:val="21"/>
          <w:szCs w:val="21"/>
          <w:lang w:val="en-US" w:eastAsia="zh-CN"/>
        </w:rPr>
        <w:t>15327054438</w:t>
      </w:r>
    </w:p>
    <w:p>
      <w:pPr>
        <w:pStyle w:val="3"/>
        <w:ind w:firstLine="1124" w:firstLineChars="400"/>
        <w:jc w:val="both"/>
      </w:pPr>
    </w:p>
    <w:p>
      <w:pPr>
        <w:pStyle w:val="3"/>
        <w:ind w:firstLine="1124" w:firstLineChars="400"/>
        <w:jc w:val="both"/>
      </w:pPr>
    </w:p>
    <w:p>
      <w:pPr>
        <w:pStyle w:val="3"/>
        <w:ind w:firstLine="1124" w:firstLineChars="400"/>
        <w:jc w:val="both"/>
      </w:pPr>
    </w:p>
    <w:p>
      <w:pPr>
        <w:pStyle w:val="3"/>
        <w:ind w:firstLine="1124" w:firstLineChars="400"/>
        <w:jc w:val="both"/>
      </w:pPr>
    </w:p>
    <w:p>
      <w:pPr>
        <w:pStyle w:val="3"/>
        <w:ind w:firstLine="1124" w:firstLineChars="400"/>
        <w:jc w:val="both"/>
      </w:pPr>
    </w:p>
    <w:p>
      <w:pPr>
        <w:pStyle w:val="3"/>
        <w:ind w:firstLine="1124" w:firstLineChars="400"/>
        <w:jc w:val="both"/>
      </w:pPr>
    </w:p>
    <w:p>
      <w:pPr>
        <w:pStyle w:val="3"/>
        <w:ind w:firstLine="840" w:firstLineChars="400"/>
        <w:jc w:val="right"/>
        <w:rPr>
          <w:rFonts w:hint="eastAsia" w:ascii="宋体" w:hAnsi="宋体" w:eastAsia="宋体" w:cs="Times New Roman"/>
          <w:b w:val="0"/>
          <w:bCs w:val="0"/>
          <w:kern w:val="2"/>
          <w:sz w:val="21"/>
          <w:szCs w:val="21"/>
          <w:lang w:val="en-US" w:eastAsia="zh-CN" w:bidi="ar-SA"/>
        </w:rPr>
      </w:pPr>
      <w:bookmarkStart w:id="38" w:name="_Toc19610"/>
      <w:r>
        <w:rPr>
          <w:rFonts w:hint="eastAsia" w:ascii="宋体" w:hAnsi="宋体" w:eastAsia="宋体" w:cs="Times New Roman"/>
          <w:b w:val="0"/>
          <w:bCs w:val="0"/>
          <w:kern w:val="2"/>
          <w:sz w:val="21"/>
          <w:szCs w:val="21"/>
          <w:lang w:val="en-US" w:eastAsia="zh-CN" w:bidi="ar-SA"/>
        </w:rPr>
        <w:t>湖北唐崖河风景名胜区旅游发展有限公司</w:t>
      </w:r>
      <w:bookmarkEnd w:id="38"/>
    </w:p>
    <w:p>
      <w:pPr>
        <w:pStyle w:val="3"/>
        <w:ind w:firstLine="840" w:firstLineChars="400"/>
        <w:jc w:val="center"/>
      </w:pPr>
      <w:r>
        <w:rPr>
          <w:rFonts w:hint="eastAsia" w:ascii="宋体" w:hAnsi="宋体" w:eastAsia="宋体" w:cs="Times New Roman"/>
          <w:b w:val="0"/>
          <w:bCs w:val="0"/>
          <w:kern w:val="2"/>
          <w:sz w:val="21"/>
          <w:szCs w:val="21"/>
          <w:lang w:val="en-US" w:eastAsia="zh-CN" w:bidi="ar-SA"/>
        </w:rPr>
        <w:t xml:space="preserve">               </w:t>
      </w:r>
      <w:r>
        <w:rPr>
          <w:rFonts w:hint="eastAsia" w:ascii="宋体" w:hAnsi="宋体" w:cs="Times New Roman"/>
          <w:b w:val="0"/>
          <w:bCs w:val="0"/>
          <w:kern w:val="2"/>
          <w:sz w:val="21"/>
          <w:szCs w:val="21"/>
          <w:lang w:val="en-US" w:eastAsia="zh-CN" w:bidi="ar-SA"/>
        </w:rPr>
        <w:t xml:space="preserve">                    </w:t>
      </w:r>
      <w:r>
        <w:rPr>
          <w:rFonts w:hint="eastAsia" w:ascii="宋体" w:hAnsi="宋体" w:eastAsia="宋体" w:cs="Times New Roman"/>
          <w:b w:val="0"/>
          <w:bCs w:val="0"/>
          <w:kern w:val="2"/>
          <w:sz w:val="21"/>
          <w:szCs w:val="21"/>
          <w:lang w:val="en-US" w:eastAsia="zh-CN" w:bidi="ar-SA"/>
        </w:rPr>
        <w:t xml:space="preserve">  </w:t>
      </w:r>
      <w:bookmarkStart w:id="39" w:name="_Toc30863"/>
      <w:r>
        <w:rPr>
          <w:rFonts w:hint="eastAsia" w:ascii="宋体" w:hAnsi="宋体" w:eastAsia="宋体" w:cs="Times New Roman"/>
          <w:b w:val="0"/>
          <w:bCs w:val="0"/>
          <w:kern w:val="2"/>
          <w:sz w:val="21"/>
          <w:szCs w:val="21"/>
          <w:lang w:val="en-US" w:eastAsia="zh-CN" w:bidi="ar-SA"/>
        </w:rPr>
        <w:t>2021年1月2</w:t>
      </w:r>
      <w:r>
        <w:rPr>
          <w:rFonts w:hint="eastAsia" w:ascii="宋体" w:hAnsi="宋体" w:cs="Times New Roman"/>
          <w:b w:val="0"/>
          <w:bCs w:val="0"/>
          <w:kern w:val="2"/>
          <w:sz w:val="21"/>
          <w:szCs w:val="21"/>
          <w:lang w:val="en-US" w:eastAsia="zh-CN" w:bidi="ar-SA"/>
        </w:rPr>
        <w:t>7</w:t>
      </w:r>
      <w:r>
        <w:rPr>
          <w:rFonts w:hint="eastAsia" w:ascii="宋体" w:hAnsi="宋体" w:eastAsia="宋体" w:cs="Times New Roman"/>
          <w:b w:val="0"/>
          <w:bCs w:val="0"/>
          <w:kern w:val="2"/>
          <w:sz w:val="21"/>
          <w:szCs w:val="21"/>
          <w:lang w:val="en-US" w:eastAsia="zh-CN" w:bidi="ar-SA"/>
        </w:rPr>
        <w:t>日</w:t>
      </w:r>
      <w:r>
        <w:rPr>
          <w:rFonts w:hint="eastAsia" w:ascii="宋体" w:hAnsi="宋体" w:eastAsia="宋体" w:cs="Times New Roman"/>
          <w:b w:val="0"/>
          <w:bCs w:val="0"/>
          <w:kern w:val="2"/>
          <w:sz w:val="21"/>
          <w:szCs w:val="21"/>
          <w:lang w:val="en-US" w:eastAsia="zh-CN" w:bidi="ar-SA"/>
        </w:rPr>
        <w:br w:type="page"/>
      </w:r>
      <w:r>
        <w:rPr>
          <w:rFonts w:hint="eastAsia"/>
        </w:rPr>
        <w:t>第二章  供应商须知前附</w:t>
      </w:r>
      <w:r>
        <w:rPr>
          <w:rFonts w:hint="eastAsia"/>
          <w:szCs w:val="28"/>
        </w:rPr>
        <w:t>表、</w:t>
      </w:r>
      <w:r>
        <w:rPr>
          <w:rFonts w:hint="eastAsia" w:ascii="宋体" w:hAnsi="宋体"/>
          <w:szCs w:val="28"/>
          <w:lang w:val="zh-CN"/>
        </w:rPr>
        <w:t>合同通用条款前附表</w:t>
      </w:r>
      <w:bookmarkEnd w:id="39"/>
    </w:p>
    <w:p>
      <w:pPr>
        <w:pStyle w:val="4"/>
        <w:rPr>
          <w:lang w:val="zh-CN"/>
        </w:rPr>
      </w:pPr>
      <w:r>
        <w:rPr>
          <w:rFonts w:hint="eastAsia"/>
          <w:lang w:val="zh-CN"/>
        </w:rPr>
        <w:t>一、供应商须知前附表</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Align w:val="center"/>
          </w:tcPr>
          <w:p>
            <w:pPr>
              <w:spacing w:line="240" w:lineRule="auto"/>
              <w:jc w:val="center"/>
              <w:rPr>
                <w:rFonts w:ascii="宋体" w:hAnsi="宋体"/>
                <w:b/>
                <w:bCs/>
                <w:sz w:val="21"/>
                <w:szCs w:val="21"/>
              </w:rPr>
            </w:pPr>
            <w:r>
              <w:rPr>
                <w:rFonts w:hint="eastAsia" w:ascii="宋体" w:hAnsi="宋体"/>
                <w:b/>
                <w:bCs/>
                <w:sz w:val="21"/>
                <w:szCs w:val="21"/>
              </w:rPr>
              <w:t>序号</w:t>
            </w:r>
          </w:p>
        </w:tc>
        <w:tc>
          <w:tcPr>
            <w:tcW w:w="2127" w:type="dxa"/>
            <w:vAlign w:val="center"/>
          </w:tcPr>
          <w:p>
            <w:pPr>
              <w:spacing w:line="240" w:lineRule="auto"/>
              <w:jc w:val="center"/>
              <w:rPr>
                <w:rFonts w:ascii="宋体" w:hAnsi="宋体"/>
                <w:b/>
                <w:bCs/>
                <w:sz w:val="21"/>
                <w:szCs w:val="21"/>
              </w:rPr>
            </w:pPr>
            <w:r>
              <w:rPr>
                <w:rFonts w:hint="eastAsia" w:ascii="宋体" w:hAnsi="宋体"/>
                <w:b/>
                <w:bCs/>
                <w:sz w:val="21"/>
                <w:szCs w:val="21"/>
              </w:rPr>
              <w:t>内容</w:t>
            </w:r>
          </w:p>
        </w:tc>
        <w:tc>
          <w:tcPr>
            <w:tcW w:w="6378" w:type="dxa"/>
            <w:vAlign w:val="center"/>
          </w:tcPr>
          <w:p>
            <w:pPr>
              <w:spacing w:line="240"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采购人名称</w:t>
            </w:r>
          </w:p>
        </w:tc>
        <w:tc>
          <w:tcPr>
            <w:tcW w:w="6378" w:type="dxa"/>
            <w:vAlign w:val="center"/>
          </w:tcPr>
          <w:p>
            <w:pPr>
              <w:spacing w:line="240" w:lineRule="auto"/>
              <w:rPr>
                <w:rFonts w:hint="default" w:ascii="宋体" w:hAnsi="宋体" w:eastAsia="宋体"/>
                <w:bCs/>
                <w:sz w:val="21"/>
                <w:szCs w:val="21"/>
                <w:lang w:val="en-US" w:eastAsia="zh-CN"/>
              </w:rPr>
            </w:pPr>
            <w:r>
              <w:rPr>
                <w:rFonts w:hint="eastAsia" w:ascii="宋体" w:hAnsi="宋体"/>
                <w:bCs/>
                <w:sz w:val="21"/>
                <w:szCs w:val="21"/>
                <w:lang w:val="en-US" w:eastAsia="zh-CN"/>
              </w:rPr>
              <w:t>湖北唐崖河风景名胜区旅游发展有限公司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供应商资格要求</w:t>
            </w:r>
          </w:p>
        </w:tc>
        <w:tc>
          <w:tcPr>
            <w:tcW w:w="6378" w:type="dxa"/>
            <w:vAlign w:val="center"/>
          </w:tcPr>
          <w:p>
            <w:pPr>
              <w:spacing w:line="240" w:lineRule="auto"/>
              <w:rPr>
                <w:rFonts w:ascii="宋体" w:hAnsi="宋体"/>
                <w:bCs/>
                <w:sz w:val="21"/>
                <w:szCs w:val="21"/>
              </w:rPr>
            </w:pPr>
            <w:r>
              <w:rPr>
                <w:rFonts w:hint="eastAsia" w:ascii="宋体" w:hAnsi="宋体"/>
                <w:bCs/>
                <w:sz w:val="21"/>
                <w:szCs w:val="21"/>
              </w:rPr>
              <w:t>1、</w:t>
            </w:r>
            <w:r>
              <w:rPr>
                <w:rFonts w:ascii="宋体" w:hAnsi="宋体"/>
                <w:bCs/>
                <w:sz w:val="21"/>
                <w:szCs w:val="21"/>
              </w:rPr>
              <w:t>供应商须具备</w:t>
            </w:r>
            <w:r>
              <w:rPr>
                <w:rFonts w:hint="eastAsia" w:ascii="宋体" w:hAnsi="宋体"/>
                <w:bCs/>
                <w:sz w:val="21"/>
                <w:szCs w:val="21"/>
              </w:rPr>
              <w:t>有效的营业执照；</w:t>
            </w:r>
          </w:p>
          <w:p>
            <w:pPr>
              <w:spacing w:line="240" w:lineRule="auto"/>
              <w:rPr>
                <w:rFonts w:ascii="宋体" w:hAnsi="宋体"/>
                <w:bCs/>
                <w:sz w:val="21"/>
                <w:szCs w:val="21"/>
              </w:rPr>
            </w:pPr>
            <w:r>
              <w:rPr>
                <w:rFonts w:hint="eastAsia" w:ascii="宋体" w:hAnsi="宋体"/>
                <w:bCs/>
                <w:sz w:val="21"/>
                <w:szCs w:val="21"/>
              </w:rPr>
              <w:t>2、</w:t>
            </w:r>
            <w:r>
              <w:rPr>
                <w:rFonts w:ascii="宋体" w:hAnsi="宋体"/>
                <w:bCs/>
                <w:sz w:val="21"/>
                <w:szCs w:val="21"/>
              </w:rPr>
              <w:t>供应商未被列入信用中国 (www.creditchina.gov.cn)</w:t>
            </w:r>
            <w:r>
              <w:rPr>
                <w:rFonts w:hint="eastAsia" w:ascii="宋体" w:hAnsi="宋体"/>
                <w:bCs/>
                <w:sz w:val="21"/>
                <w:szCs w:val="21"/>
              </w:rPr>
              <w:t xml:space="preserve"> 失信惩戒名单</w:t>
            </w:r>
            <w:r>
              <w:rPr>
                <w:rFonts w:ascii="宋体" w:hAnsi="宋体"/>
                <w:bCs/>
                <w:sz w:val="21"/>
                <w:szCs w:val="21"/>
              </w:rPr>
              <w:t>、中国政府采购网(</w:t>
            </w:r>
            <w:r>
              <w:fldChar w:fldCharType="begin"/>
            </w:r>
            <w:r>
              <w:instrText xml:space="preserve"> HYPERLINK "http://www.ccgp.gov.cn/" </w:instrText>
            </w:r>
            <w:r>
              <w:fldChar w:fldCharType="separate"/>
            </w:r>
            <w:r>
              <w:rPr>
                <w:rFonts w:ascii="宋体" w:hAnsi="宋体"/>
                <w:bCs/>
                <w:sz w:val="21"/>
                <w:szCs w:val="21"/>
              </w:rPr>
              <w:t>www.ccgp.gov.cn</w:t>
            </w:r>
            <w:r>
              <w:rPr>
                <w:rFonts w:ascii="宋体" w:hAnsi="宋体"/>
                <w:bCs/>
                <w:sz w:val="21"/>
                <w:szCs w:val="21"/>
              </w:rPr>
              <w:fldChar w:fldCharType="end"/>
            </w:r>
            <w:r>
              <w:rPr>
                <w:rFonts w:ascii="宋体" w:hAnsi="宋体"/>
                <w:bCs/>
                <w:sz w:val="21"/>
                <w:szCs w:val="21"/>
              </w:rPr>
              <w:t>)政府</w:t>
            </w:r>
            <w:r>
              <w:rPr>
                <w:rFonts w:hint="eastAsia" w:ascii="宋体" w:hAnsi="宋体"/>
                <w:bCs/>
                <w:sz w:val="21"/>
                <w:szCs w:val="21"/>
              </w:rPr>
              <w:t>采购</w:t>
            </w:r>
            <w:r>
              <w:rPr>
                <w:rFonts w:ascii="宋体" w:hAnsi="宋体"/>
                <w:bCs/>
                <w:sz w:val="21"/>
                <w:szCs w:val="21"/>
              </w:rPr>
              <w:t>严重违法失信行为记录名单</w:t>
            </w:r>
            <w:r>
              <w:rPr>
                <w:rFonts w:hint="eastAsia" w:ascii="宋体" w:hAnsi="宋体"/>
                <w:bCs/>
                <w:sz w:val="21"/>
                <w:szCs w:val="21"/>
              </w:rPr>
              <w:t>。（以响应截止日期当天磋商现场查询为准）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是否允许联合体响应</w:t>
            </w:r>
          </w:p>
        </w:tc>
        <w:tc>
          <w:tcPr>
            <w:tcW w:w="6378" w:type="dxa"/>
            <w:vAlign w:val="center"/>
          </w:tcPr>
          <w:p>
            <w:pPr>
              <w:spacing w:line="240" w:lineRule="auto"/>
              <w:rPr>
                <w:rFonts w:ascii="宋体" w:hAnsi="宋体"/>
                <w:bCs/>
                <w:sz w:val="21"/>
                <w:szCs w:val="21"/>
              </w:rPr>
            </w:pPr>
            <w:r>
              <w:rPr>
                <w:rFonts w:hint="eastAsia" w:ascii="宋体" w:hAnsi="宋体"/>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8" w:hRule="atLeas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供应商应提交的商务文件</w:t>
            </w:r>
          </w:p>
        </w:tc>
        <w:tc>
          <w:tcPr>
            <w:tcW w:w="6378" w:type="dxa"/>
            <w:vAlign w:val="center"/>
          </w:tcPr>
          <w:p>
            <w:pPr>
              <w:spacing w:line="240" w:lineRule="auto"/>
              <w:rPr>
                <w:rFonts w:ascii="宋体" w:hAnsi="宋体"/>
                <w:sz w:val="21"/>
                <w:szCs w:val="21"/>
              </w:rPr>
            </w:pPr>
            <w:r>
              <w:rPr>
                <w:rFonts w:hint="eastAsia" w:ascii="宋体" w:hAnsi="宋体"/>
                <w:sz w:val="21"/>
                <w:szCs w:val="21"/>
              </w:rPr>
              <w:t>*1、营业执照。</w:t>
            </w:r>
          </w:p>
          <w:p>
            <w:pPr>
              <w:spacing w:line="240" w:lineRule="auto"/>
              <w:rPr>
                <w:rFonts w:ascii="宋体" w:hAnsi="宋体"/>
                <w:sz w:val="21"/>
                <w:szCs w:val="21"/>
              </w:rPr>
            </w:pPr>
            <w:r>
              <w:rPr>
                <w:rFonts w:hint="eastAsia" w:ascii="宋体" w:hAnsi="宋体"/>
                <w:sz w:val="21"/>
                <w:szCs w:val="21"/>
              </w:rPr>
              <w:t>*2、响应函。</w:t>
            </w:r>
          </w:p>
          <w:p>
            <w:pPr>
              <w:spacing w:line="240" w:lineRule="auto"/>
              <w:rPr>
                <w:rFonts w:ascii="宋体" w:hAnsi="宋体"/>
                <w:sz w:val="21"/>
                <w:szCs w:val="21"/>
              </w:rPr>
            </w:pPr>
            <w:r>
              <w:rPr>
                <w:rFonts w:hint="eastAsia" w:ascii="宋体" w:hAnsi="宋体"/>
                <w:sz w:val="21"/>
                <w:szCs w:val="21"/>
              </w:rPr>
              <w:t>*3、法人身份证明或法定代表人授权委托书。</w:t>
            </w:r>
          </w:p>
          <w:p>
            <w:pPr>
              <w:spacing w:line="240" w:lineRule="auto"/>
              <w:rPr>
                <w:rFonts w:ascii="宋体" w:hAnsi="宋体"/>
                <w:sz w:val="21"/>
                <w:szCs w:val="21"/>
              </w:rPr>
            </w:pPr>
            <w:r>
              <w:rPr>
                <w:rFonts w:hint="eastAsia" w:ascii="宋体" w:hAnsi="宋体"/>
                <w:sz w:val="21"/>
                <w:szCs w:val="21"/>
              </w:rPr>
              <w:t>*4、报价一览表。</w:t>
            </w:r>
          </w:p>
          <w:p>
            <w:pPr>
              <w:spacing w:line="240" w:lineRule="auto"/>
              <w:rPr>
                <w:rFonts w:ascii="宋体" w:hAnsi="宋体"/>
                <w:sz w:val="21"/>
                <w:szCs w:val="21"/>
              </w:rPr>
            </w:pPr>
            <w:r>
              <w:rPr>
                <w:rFonts w:hint="eastAsia" w:ascii="宋体" w:hAnsi="宋体"/>
                <w:sz w:val="21"/>
                <w:szCs w:val="21"/>
              </w:rPr>
              <w:t>*5、分项报价表。</w:t>
            </w:r>
          </w:p>
          <w:p>
            <w:pPr>
              <w:spacing w:line="240" w:lineRule="auto"/>
              <w:rPr>
                <w:rFonts w:ascii="宋体" w:hAnsi="宋体"/>
                <w:sz w:val="21"/>
                <w:szCs w:val="21"/>
              </w:rPr>
            </w:pPr>
            <w:r>
              <w:rPr>
                <w:rFonts w:hint="eastAsia" w:ascii="宋体" w:hAnsi="宋体"/>
                <w:sz w:val="21"/>
                <w:szCs w:val="21"/>
              </w:rPr>
              <w:t>*6、按照“供应商资格要求”的规定提交相关证明文件。</w:t>
            </w:r>
          </w:p>
          <w:p>
            <w:pPr>
              <w:spacing w:line="240" w:lineRule="auto"/>
              <w:rPr>
                <w:rFonts w:ascii="宋体" w:hAnsi="宋体"/>
                <w:sz w:val="21"/>
                <w:szCs w:val="21"/>
              </w:rPr>
            </w:pPr>
            <w:r>
              <w:rPr>
                <w:rFonts w:hint="eastAsia" w:ascii="宋体" w:hAnsi="宋体"/>
                <w:sz w:val="21"/>
                <w:szCs w:val="21"/>
              </w:rPr>
              <w:t>*7、商务条款响应偏离表。</w:t>
            </w:r>
          </w:p>
          <w:p>
            <w:pPr>
              <w:spacing w:line="240" w:lineRule="auto"/>
              <w:ind w:firstLine="105" w:firstLineChars="50"/>
              <w:rPr>
                <w:rFonts w:ascii="宋体" w:hAnsi="宋体"/>
                <w:sz w:val="21"/>
                <w:szCs w:val="21"/>
              </w:rPr>
            </w:pPr>
            <w:r>
              <w:rPr>
                <w:rFonts w:hint="eastAsia" w:ascii="宋体" w:hAnsi="宋体"/>
                <w:sz w:val="21"/>
                <w:szCs w:val="21"/>
              </w:rPr>
              <w:t>8、磋商文件中要求提供的其他商务材料。</w:t>
            </w:r>
          </w:p>
          <w:p>
            <w:pPr>
              <w:spacing w:line="240" w:lineRule="auto"/>
              <w:ind w:firstLine="105" w:firstLineChars="50"/>
              <w:rPr>
                <w:rFonts w:ascii="宋体" w:hAnsi="宋体"/>
                <w:sz w:val="21"/>
                <w:szCs w:val="21"/>
              </w:rPr>
            </w:pPr>
            <w:r>
              <w:rPr>
                <w:rFonts w:hint="eastAsia" w:ascii="宋体" w:hAnsi="宋体"/>
                <w:sz w:val="21"/>
                <w:szCs w:val="21"/>
              </w:rPr>
              <w:t>9、供应商认为需要提供的其他商务材料。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9" w:hRule="atLeas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供应商应提交的技术、服务文件</w:t>
            </w:r>
          </w:p>
        </w:tc>
        <w:tc>
          <w:tcPr>
            <w:tcW w:w="6378" w:type="dxa"/>
            <w:vAlign w:val="center"/>
          </w:tcPr>
          <w:p>
            <w:pPr>
              <w:spacing w:line="240" w:lineRule="auto"/>
              <w:rPr>
                <w:rFonts w:ascii="宋体" w:hAnsi="宋体"/>
                <w:sz w:val="21"/>
                <w:szCs w:val="21"/>
              </w:rPr>
            </w:pPr>
            <w:r>
              <w:rPr>
                <w:rFonts w:ascii="宋体" w:hAnsi="宋体"/>
                <w:sz w:val="21"/>
                <w:szCs w:val="21"/>
              </w:rPr>
              <w:t>包括但不限于：</w:t>
            </w:r>
          </w:p>
          <w:p>
            <w:pPr>
              <w:spacing w:line="240" w:lineRule="auto"/>
              <w:ind w:firstLine="105" w:firstLineChars="50"/>
              <w:rPr>
                <w:rFonts w:ascii="宋体" w:hAnsi="宋体"/>
                <w:sz w:val="21"/>
                <w:szCs w:val="21"/>
              </w:rPr>
            </w:pPr>
            <w:r>
              <w:rPr>
                <w:rFonts w:hint="eastAsia" w:ascii="宋体" w:hAnsi="宋体"/>
                <w:sz w:val="21"/>
                <w:szCs w:val="21"/>
              </w:rPr>
              <w:t>1、交货期的保证措施。</w:t>
            </w:r>
          </w:p>
          <w:p>
            <w:pPr>
              <w:spacing w:line="240" w:lineRule="auto"/>
              <w:ind w:firstLine="105" w:firstLineChars="50"/>
              <w:rPr>
                <w:rFonts w:ascii="宋体" w:hAnsi="宋体"/>
                <w:sz w:val="21"/>
                <w:szCs w:val="21"/>
              </w:rPr>
            </w:pPr>
            <w:r>
              <w:rPr>
                <w:rFonts w:hint="eastAsia" w:ascii="宋体" w:hAnsi="宋体"/>
                <w:sz w:val="21"/>
                <w:szCs w:val="21"/>
              </w:rPr>
              <w:t>2、质量保证措施。</w:t>
            </w:r>
          </w:p>
          <w:p>
            <w:pPr>
              <w:spacing w:line="240" w:lineRule="auto"/>
              <w:ind w:firstLine="105" w:firstLineChars="50"/>
              <w:rPr>
                <w:rFonts w:ascii="宋体" w:hAnsi="宋体"/>
                <w:sz w:val="21"/>
                <w:szCs w:val="21"/>
              </w:rPr>
            </w:pPr>
            <w:r>
              <w:rPr>
                <w:rFonts w:hint="eastAsia" w:ascii="宋体" w:hAnsi="宋体"/>
                <w:sz w:val="21"/>
                <w:szCs w:val="21"/>
              </w:rPr>
              <w:t>3、技术培训方案。</w:t>
            </w:r>
          </w:p>
          <w:p>
            <w:pPr>
              <w:spacing w:line="240" w:lineRule="auto"/>
              <w:ind w:firstLine="105" w:firstLineChars="50"/>
              <w:rPr>
                <w:rFonts w:ascii="宋体" w:hAnsi="宋体"/>
                <w:sz w:val="21"/>
                <w:szCs w:val="21"/>
              </w:rPr>
            </w:pPr>
            <w:r>
              <w:rPr>
                <w:rFonts w:hint="eastAsia" w:ascii="宋体" w:hAnsi="宋体"/>
                <w:sz w:val="21"/>
                <w:szCs w:val="21"/>
              </w:rPr>
              <w:t>4、售后服务方案。</w:t>
            </w:r>
          </w:p>
          <w:p>
            <w:pPr>
              <w:spacing w:line="240" w:lineRule="auto"/>
              <w:rPr>
                <w:rFonts w:ascii="宋体" w:hAnsi="宋体"/>
                <w:sz w:val="21"/>
                <w:szCs w:val="21"/>
              </w:rPr>
            </w:pPr>
            <w:r>
              <w:rPr>
                <w:rFonts w:hint="eastAsia" w:ascii="宋体" w:hAnsi="宋体"/>
                <w:sz w:val="21"/>
                <w:szCs w:val="21"/>
              </w:rPr>
              <w:t>*5、技术规格响应偏离表。</w:t>
            </w:r>
          </w:p>
          <w:p>
            <w:pPr>
              <w:spacing w:line="240" w:lineRule="auto"/>
              <w:ind w:firstLine="105" w:firstLineChars="50"/>
              <w:rPr>
                <w:rFonts w:ascii="宋体" w:hAnsi="宋体"/>
                <w:sz w:val="21"/>
                <w:szCs w:val="21"/>
              </w:rPr>
            </w:pPr>
            <w:r>
              <w:rPr>
                <w:rFonts w:hint="eastAsia" w:ascii="宋体" w:hAnsi="宋体"/>
                <w:sz w:val="21"/>
                <w:szCs w:val="21"/>
              </w:rPr>
              <w:t>6、磋商文件中要求提供的的其它技术、服务文件。</w:t>
            </w:r>
          </w:p>
          <w:p>
            <w:pPr>
              <w:snapToGrid w:val="0"/>
              <w:spacing w:line="240" w:lineRule="auto"/>
              <w:ind w:firstLine="105" w:firstLineChars="50"/>
              <w:rPr>
                <w:rFonts w:ascii="宋体" w:hAnsi="宋体"/>
                <w:sz w:val="21"/>
                <w:szCs w:val="21"/>
              </w:rPr>
            </w:pPr>
            <w:r>
              <w:rPr>
                <w:rFonts w:hint="eastAsia" w:ascii="宋体" w:hAnsi="宋体"/>
                <w:sz w:val="21"/>
                <w:szCs w:val="21"/>
              </w:rPr>
              <w:t>7、供应商认为需要提供的的其它技术、服务文件。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响应文件有效期</w:t>
            </w:r>
          </w:p>
        </w:tc>
        <w:tc>
          <w:tcPr>
            <w:tcW w:w="6378" w:type="dxa"/>
            <w:vAlign w:val="center"/>
          </w:tcPr>
          <w:p>
            <w:pPr>
              <w:spacing w:line="240" w:lineRule="auto"/>
              <w:rPr>
                <w:rFonts w:ascii="宋体" w:hAnsi="宋体"/>
                <w:bCs/>
                <w:sz w:val="21"/>
                <w:szCs w:val="21"/>
              </w:rPr>
            </w:pPr>
            <w:bookmarkStart w:id="40" w:name="_Toc429350475"/>
            <w:bookmarkStart w:id="41" w:name="_Toc429350901"/>
            <w:bookmarkStart w:id="42" w:name="_Toc15413"/>
            <w:bookmarkStart w:id="43" w:name="_Toc429351342"/>
            <w:r>
              <w:rPr>
                <w:rFonts w:hint="eastAsia" w:ascii="宋体" w:hAnsi="宋体"/>
                <w:bCs/>
                <w:sz w:val="21"/>
                <w:szCs w:val="21"/>
              </w:rPr>
              <w:t>90日历天（从响应截止日期起计算）</w:t>
            </w:r>
            <w:bookmarkEnd w:id="40"/>
            <w:bookmarkEnd w:id="41"/>
            <w:bookmarkEnd w:id="4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响应文件签字、盖章</w:t>
            </w:r>
          </w:p>
        </w:tc>
        <w:tc>
          <w:tcPr>
            <w:tcW w:w="6378" w:type="dxa"/>
            <w:vAlign w:val="center"/>
          </w:tcPr>
          <w:p>
            <w:pPr>
              <w:spacing w:line="240" w:lineRule="auto"/>
              <w:rPr>
                <w:rFonts w:ascii="宋体" w:hAnsi="宋体"/>
                <w:bCs/>
                <w:spacing w:val="10"/>
                <w:sz w:val="21"/>
                <w:szCs w:val="21"/>
              </w:rPr>
            </w:pPr>
            <w:r>
              <w:rPr>
                <w:rFonts w:hint="eastAsia" w:ascii="宋体" w:hAnsi="宋体"/>
                <w:bCs/>
                <w:spacing w:val="10"/>
                <w:sz w:val="21"/>
                <w:szCs w:val="21"/>
              </w:rPr>
              <w:t>响应文件应按磋商文件“第七章 响应文件格式”的要求在</w:t>
            </w:r>
            <w:r>
              <w:rPr>
                <w:rFonts w:ascii="宋体" w:hAnsi="宋体"/>
                <w:bCs/>
                <w:spacing w:val="10"/>
                <w:sz w:val="21"/>
                <w:szCs w:val="21"/>
              </w:rPr>
              <w:t>盖</w:t>
            </w:r>
            <w:r>
              <w:rPr>
                <w:rFonts w:hint="eastAsia" w:ascii="宋体" w:hAnsi="宋体"/>
                <w:bCs/>
                <w:spacing w:val="10"/>
                <w:sz w:val="21"/>
                <w:szCs w:val="21"/>
              </w:rPr>
              <w:t>供应商公</w:t>
            </w:r>
            <w:r>
              <w:rPr>
                <w:rFonts w:ascii="宋体" w:hAnsi="宋体"/>
                <w:bCs/>
                <w:spacing w:val="10"/>
                <w:sz w:val="21"/>
                <w:szCs w:val="21"/>
              </w:rPr>
              <w:t>章</w:t>
            </w:r>
            <w:r>
              <w:rPr>
                <w:rFonts w:hint="eastAsia" w:ascii="宋体" w:hAnsi="宋体"/>
                <w:bCs/>
                <w:spacing w:val="10"/>
                <w:sz w:val="21"/>
                <w:szCs w:val="21"/>
              </w:rPr>
              <w:t>、</w:t>
            </w:r>
            <w:r>
              <w:rPr>
                <w:rFonts w:ascii="宋体" w:hAnsi="宋体"/>
                <w:bCs/>
                <w:spacing w:val="10"/>
                <w:sz w:val="21"/>
                <w:szCs w:val="21"/>
              </w:rPr>
              <w:t>签字</w:t>
            </w:r>
            <w:r>
              <w:rPr>
                <w:rFonts w:hint="eastAsia" w:ascii="宋体" w:hAnsi="宋体"/>
                <w:bCs/>
                <w:spacing w:val="10"/>
                <w:sz w:val="21"/>
                <w:szCs w:val="21"/>
              </w:rPr>
              <w:t>或签章的地方，供应商</w:t>
            </w:r>
            <w:r>
              <w:rPr>
                <w:rFonts w:ascii="宋体" w:hAnsi="宋体"/>
                <w:bCs/>
                <w:spacing w:val="10"/>
                <w:sz w:val="21"/>
                <w:szCs w:val="21"/>
              </w:rPr>
              <w:t>均应盖</w:t>
            </w:r>
            <w:r>
              <w:rPr>
                <w:rFonts w:hint="eastAsia" w:ascii="宋体" w:hAnsi="宋体"/>
                <w:bCs/>
                <w:spacing w:val="10"/>
                <w:sz w:val="21"/>
                <w:szCs w:val="21"/>
              </w:rPr>
              <w:t>供应商标准公章、</w:t>
            </w:r>
            <w:r>
              <w:rPr>
                <w:rFonts w:ascii="宋体" w:hAnsi="宋体"/>
                <w:bCs/>
                <w:spacing w:val="10"/>
                <w:sz w:val="21"/>
                <w:szCs w:val="21"/>
              </w:rPr>
              <w:t>签字</w:t>
            </w:r>
            <w:r>
              <w:rPr>
                <w:rFonts w:hint="eastAsia" w:ascii="宋体" w:hAnsi="宋体"/>
                <w:bCs/>
                <w:spacing w:val="10"/>
                <w:sz w:val="21"/>
                <w:szCs w:val="21"/>
              </w:rPr>
              <w:t>或盖个人印章。没有</w:t>
            </w:r>
            <w:r>
              <w:rPr>
                <w:rFonts w:ascii="宋体" w:hAnsi="宋体"/>
                <w:bCs/>
                <w:spacing w:val="10"/>
                <w:sz w:val="21"/>
                <w:szCs w:val="21"/>
              </w:rPr>
              <w:t>盖</w:t>
            </w:r>
            <w:r>
              <w:rPr>
                <w:rFonts w:hint="eastAsia" w:ascii="宋体" w:hAnsi="宋体"/>
                <w:bCs/>
                <w:spacing w:val="10"/>
                <w:sz w:val="21"/>
                <w:szCs w:val="21"/>
              </w:rPr>
              <w:t>供应商标准公章、</w:t>
            </w:r>
            <w:r>
              <w:rPr>
                <w:rFonts w:ascii="宋体" w:hAnsi="宋体"/>
                <w:bCs/>
                <w:spacing w:val="10"/>
                <w:sz w:val="21"/>
                <w:szCs w:val="21"/>
              </w:rPr>
              <w:t>签字</w:t>
            </w:r>
            <w:r>
              <w:rPr>
                <w:rFonts w:hint="eastAsia" w:ascii="宋体" w:hAnsi="宋体"/>
                <w:bCs/>
                <w:spacing w:val="10"/>
                <w:sz w:val="21"/>
                <w:szCs w:val="21"/>
              </w:rPr>
              <w:t>或盖个人印章的响应文件将</w:t>
            </w:r>
            <w:r>
              <w:rPr>
                <w:rFonts w:hint="eastAsia" w:ascii="宋体" w:hAnsi="宋体"/>
                <w:b/>
                <w:bCs/>
                <w:spacing w:val="10"/>
                <w:sz w:val="21"/>
                <w:szCs w:val="21"/>
              </w:rPr>
              <w:t>被拒绝</w:t>
            </w:r>
            <w:r>
              <w:rPr>
                <w:rFonts w:hint="eastAsia" w:ascii="宋体" w:hAnsi="宋体"/>
                <w:bCs/>
                <w:spacing w:val="10"/>
                <w:sz w:val="21"/>
                <w:szCs w:val="21"/>
              </w:rPr>
              <w:t>。</w:t>
            </w:r>
          </w:p>
          <w:p>
            <w:pPr>
              <w:spacing w:line="240" w:lineRule="auto"/>
              <w:rPr>
                <w:rFonts w:ascii="宋体" w:hAnsi="宋体"/>
                <w:spacing w:val="10"/>
                <w:sz w:val="21"/>
                <w:szCs w:val="21"/>
              </w:rPr>
            </w:pPr>
            <w:r>
              <w:rPr>
                <w:rFonts w:hint="eastAsia" w:ascii="宋体" w:hAnsi="宋体"/>
                <w:spacing w:val="10"/>
                <w:sz w:val="21"/>
                <w:szCs w:val="21"/>
              </w:rPr>
              <w:t>响应文件及相关文件的签订、履行、通知、密封等事项的书面文件中的单位盖章、公章等处均仅指与当事人名称全称相一致的标准公章，不得使用其它形式（如带有“专用章”等字样的公章等）。否则视为非实质性响应磋商文件，其</w:t>
            </w:r>
            <w:r>
              <w:rPr>
                <w:rFonts w:hint="eastAsia" w:ascii="宋体" w:hAnsi="宋体"/>
                <w:b/>
                <w:spacing w:val="10"/>
                <w:sz w:val="21"/>
                <w:szCs w:val="21"/>
              </w:rPr>
              <w:t>响应被拒绝</w:t>
            </w:r>
            <w:r>
              <w:rPr>
                <w:rFonts w:hint="eastAsia" w:ascii="宋体" w:hAnsi="宋体"/>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exac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响应文件份数</w:t>
            </w:r>
          </w:p>
        </w:tc>
        <w:tc>
          <w:tcPr>
            <w:tcW w:w="6378" w:type="dxa"/>
            <w:vAlign w:val="center"/>
          </w:tcPr>
          <w:p>
            <w:pPr>
              <w:spacing w:line="240" w:lineRule="auto"/>
              <w:rPr>
                <w:rFonts w:ascii="宋体" w:hAnsi="宋体"/>
                <w:bCs/>
                <w:spacing w:val="10"/>
                <w:sz w:val="21"/>
                <w:szCs w:val="21"/>
              </w:rPr>
            </w:pPr>
            <w:bookmarkStart w:id="44" w:name="_Toc10353"/>
            <w:bookmarkStart w:id="45" w:name="_Toc429350476"/>
            <w:bookmarkStart w:id="46" w:name="_Toc429350902"/>
            <w:bookmarkStart w:id="47" w:name="_Toc429351343"/>
            <w:r>
              <w:rPr>
                <w:rFonts w:hint="eastAsia" w:ascii="宋体" w:hAnsi="宋体"/>
                <w:bCs/>
                <w:spacing w:val="10"/>
                <w:sz w:val="21"/>
                <w:szCs w:val="21"/>
              </w:rPr>
              <w:t>响应文件一式</w:t>
            </w:r>
            <w:r>
              <w:rPr>
                <w:rFonts w:hint="eastAsia" w:ascii="宋体" w:hAnsi="宋体"/>
                <w:b/>
                <w:bCs/>
                <w:spacing w:val="10"/>
                <w:sz w:val="21"/>
                <w:szCs w:val="21"/>
                <w:u w:val="single"/>
              </w:rPr>
              <w:t>3份</w:t>
            </w:r>
            <w:r>
              <w:rPr>
                <w:rFonts w:hint="eastAsia" w:ascii="宋体" w:hAnsi="宋体"/>
                <w:bCs/>
                <w:spacing w:val="10"/>
                <w:sz w:val="21"/>
                <w:szCs w:val="21"/>
              </w:rPr>
              <w:t>，其中正本</w:t>
            </w:r>
            <w:r>
              <w:rPr>
                <w:rFonts w:hint="eastAsia" w:ascii="宋体" w:hAnsi="宋体"/>
                <w:b/>
                <w:bCs/>
                <w:spacing w:val="10"/>
                <w:sz w:val="21"/>
                <w:szCs w:val="21"/>
                <w:u w:val="single"/>
              </w:rPr>
              <w:t>1份</w:t>
            </w:r>
            <w:r>
              <w:rPr>
                <w:rFonts w:hint="eastAsia" w:ascii="宋体" w:hAnsi="宋体"/>
                <w:bCs/>
                <w:spacing w:val="10"/>
                <w:sz w:val="21"/>
                <w:szCs w:val="21"/>
              </w:rPr>
              <w:t>，副本</w:t>
            </w:r>
            <w:r>
              <w:rPr>
                <w:rFonts w:hint="eastAsia" w:ascii="宋体" w:hAnsi="宋体"/>
                <w:b/>
                <w:bCs/>
                <w:spacing w:val="10"/>
                <w:sz w:val="21"/>
                <w:szCs w:val="21"/>
                <w:u w:val="single"/>
              </w:rPr>
              <w:t>2份</w:t>
            </w:r>
            <w:r>
              <w:rPr>
                <w:rFonts w:hint="eastAsia" w:ascii="宋体" w:hAnsi="宋体"/>
                <w:b/>
                <w:bCs/>
                <w:spacing w:val="10"/>
                <w:sz w:val="21"/>
                <w:szCs w:val="21"/>
              </w:rPr>
              <w:t>，</w:t>
            </w:r>
            <w:r>
              <w:rPr>
                <w:rFonts w:hint="eastAsia" w:ascii="宋体" w:hAnsi="宋体"/>
                <w:bCs/>
                <w:spacing w:val="10"/>
                <w:sz w:val="21"/>
                <w:szCs w:val="21"/>
              </w:rPr>
              <w:t>电子响应文件</w:t>
            </w:r>
            <w:r>
              <w:rPr>
                <w:rFonts w:hint="eastAsia" w:ascii="宋体" w:hAnsi="宋体"/>
                <w:b/>
                <w:bCs/>
                <w:spacing w:val="10"/>
                <w:sz w:val="21"/>
                <w:szCs w:val="21"/>
                <w:u w:val="single"/>
              </w:rPr>
              <w:t>1份（</w:t>
            </w:r>
            <w:r>
              <w:rPr>
                <w:rFonts w:hint="eastAsia" w:ascii="宋体" w:hAnsi="宋体"/>
                <w:b/>
                <w:sz w:val="21"/>
                <w:szCs w:val="21"/>
                <w:u w:val="single"/>
                <w:lang w:val="zh-CN"/>
              </w:rPr>
              <w:t>U盘或光盘，电子响应文件应是不可修改格式且封面必须上传加盖供应商公章的扫描件</w:t>
            </w:r>
            <w:r>
              <w:rPr>
                <w:rFonts w:hint="eastAsia" w:ascii="宋体" w:hAnsi="宋体"/>
                <w:b/>
                <w:bCs/>
                <w:spacing w:val="10"/>
                <w:sz w:val="21"/>
                <w:szCs w:val="21"/>
                <w:u w:val="single"/>
              </w:rPr>
              <w:t>）</w:t>
            </w:r>
            <w:r>
              <w:rPr>
                <w:rFonts w:hint="eastAsia" w:ascii="宋体" w:hAnsi="宋体"/>
                <w:bCs/>
                <w:spacing w:val="10"/>
                <w:sz w:val="21"/>
                <w:szCs w:val="21"/>
              </w:rPr>
              <w:t>；资格审查文件</w:t>
            </w:r>
            <w:r>
              <w:rPr>
                <w:rFonts w:hint="eastAsia" w:ascii="宋体" w:hAnsi="宋体"/>
                <w:b/>
                <w:bCs/>
                <w:spacing w:val="10"/>
                <w:sz w:val="21"/>
                <w:szCs w:val="21"/>
                <w:u w:val="single"/>
              </w:rPr>
              <w:t>1份</w:t>
            </w:r>
            <w:r>
              <w:rPr>
                <w:rFonts w:hint="eastAsia" w:ascii="宋体" w:hAnsi="宋体"/>
                <w:bCs/>
                <w:spacing w:val="10"/>
                <w:sz w:val="21"/>
                <w:szCs w:val="21"/>
              </w:rPr>
              <w:t>；报价一览表</w:t>
            </w:r>
            <w:r>
              <w:rPr>
                <w:rFonts w:hint="eastAsia" w:ascii="宋体" w:hAnsi="宋体"/>
                <w:b/>
                <w:bCs/>
                <w:spacing w:val="10"/>
                <w:sz w:val="21"/>
                <w:szCs w:val="21"/>
                <w:u w:val="single"/>
              </w:rPr>
              <w:t>1份（单独密封）</w:t>
            </w:r>
            <w:bookmarkEnd w:id="44"/>
            <w:bookmarkEnd w:id="45"/>
            <w:bookmarkEnd w:id="46"/>
            <w:bookmarkEnd w:id="47"/>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spacing w:line="240" w:lineRule="auto"/>
              <w:jc w:val="center"/>
              <w:rPr>
                <w:rFonts w:ascii="宋体" w:hAnsi="宋体"/>
                <w:bCs/>
                <w:sz w:val="21"/>
                <w:szCs w:val="21"/>
              </w:rPr>
            </w:pPr>
            <w:r>
              <w:rPr>
                <w:rFonts w:hint="eastAsia" w:ascii="宋体" w:hAnsi="宋体"/>
                <w:bCs/>
                <w:sz w:val="21"/>
                <w:szCs w:val="21"/>
              </w:rPr>
              <w:t>响应文件递交截止时间、地点</w:t>
            </w:r>
          </w:p>
        </w:tc>
        <w:tc>
          <w:tcPr>
            <w:tcW w:w="6378" w:type="dxa"/>
            <w:vAlign w:val="center"/>
          </w:tcPr>
          <w:p>
            <w:pPr>
              <w:spacing w:line="240" w:lineRule="auto"/>
              <w:jc w:val="center"/>
              <w:rPr>
                <w:rFonts w:ascii="宋体" w:hAnsi="宋体"/>
                <w:bCs/>
                <w:sz w:val="21"/>
                <w:szCs w:val="21"/>
              </w:rPr>
            </w:pPr>
            <w:r>
              <w:rPr>
                <w:rFonts w:hint="eastAsia" w:ascii="宋体" w:hAnsi="宋体"/>
                <w:kern w:val="2"/>
                <w:sz w:val="21"/>
                <w:szCs w:val="21"/>
              </w:rPr>
              <w:t>202</w:t>
            </w:r>
            <w:r>
              <w:rPr>
                <w:rFonts w:hint="eastAsia" w:ascii="宋体" w:hAnsi="宋体"/>
                <w:kern w:val="2"/>
                <w:sz w:val="21"/>
                <w:szCs w:val="21"/>
                <w:lang w:val="en-US" w:eastAsia="zh-CN"/>
              </w:rPr>
              <w:t>1</w:t>
            </w:r>
            <w:r>
              <w:rPr>
                <w:rFonts w:hint="eastAsia" w:ascii="宋体" w:hAnsi="宋体"/>
                <w:kern w:val="2"/>
                <w:sz w:val="21"/>
                <w:szCs w:val="21"/>
              </w:rPr>
              <w:t>年</w:t>
            </w:r>
            <w:r>
              <w:rPr>
                <w:rFonts w:ascii="宋体" w:hAnsi="宋体"/>
                <w:kern w:val="2"/>
                <w:sz w:val="21"/>
                <w:szCs w:val="21"/>
              </w:rPr>
              <w:t>2</w:t>
            </w:r>
            <w:r>
              <w:rPr>
                <w:rFonts w:hint="eastAsia" w:ascii="宋体" w:hAnsi="宋体"/>
                <w:kern w:val="2"/>
                <w:sz w:val="21"/>
                <w:szCs w:val="21"/>
              </w:rPr>
              <w:t>月</w:t>
            </w:r>
            <w:r>
              <w:rPr>
                <w:rFonts w:ascii="宋体" w:hAnsi="宋体"/>
                <w:kern w:val="2"/>
                <w:sz w:val="21"/>
                <w:szCs w:val="21"/>
              </w:rPr>
              <w:t xml:space="preserve"> </w:t>
            </w:r>
            <w:r>
              <w:rPr>
                <w:rFonts w:hint="eastAsia" w:ascii="宋体" w:hAnsi="宋体"/>
                <w:kern w:val="2"/>
                <w:sz w:val="21"/>
                <w:szCs w:val="21"/>
                <w:lang w:val="en-US" w:eastAsia="zh-CN"/>
              </w:rPr>
              <w:t>4</w:t>
            </w:r>
            <w:r>
              <w:rPr>
                <w:rFonts w:ascii="宋体" w:hAnsi="宋体"/>
                <w:kern w:val="2"/>
                <w:sz w:val="21"/>
                <w:szCs w:val="21"/>
              </w:rPr>
              <w:t xml:space="preserve"> </w:t>
            </w:r>
            <w:r>
              <w:rPr>
                <w:rFonts w:hint="eastAsia" w:ascii="宋体" w:hAnsi="宋体"/>
                <w:kern w:val="2"/>
                <w:sz w:val="21"/>
                <w:szCs w:val="21"/>
              </w:rPr>
              <w:t>日</w:t>
            </w:r>
            <w:r>
              <w:rPr>
                <w:rFonts w:ascii="宋体" w:hAnsi="宋体"/>
                <w:kern w:val="2"/>
                <w:sz w:val="21"/>
                <w:szCs w:val="21"/>
              </w:rPr>
              <w:t xml:space="preserve"> </w:t>
            </w:r>
            <w:r>
              <w:rPr>
                <w:rFonts w:hint="eastAsia" w:ascii="宋体" w:hAnsi="宋体"/>
                <w:kern w:val="2"/>
                <w:sz w:val="21"/>
                <w:szCs w:val="21"/>
                <w:lang w:val="en-US" w:eastAsia="zh-CN"/>
              </w:rPr>
              <w:t>10</w:t>
            </w:r>
            <w:r>
              <w:rPr>
                <w:rFonts w:hint="eastAsia" w:ascii="宋体" w:hAnsi="宋体"/>
                <w:kern w:val="2"/>
                <w:sz w:val="21"/>
                <w:szCs w:val="21"/>
              </w:rPr>
              <w:t>点</w:t>
            </w:r>
            <w:r>
              <w:rPr>
                <w:rFonts w:ascii="宋体" w:hAnsi="宋体"/>
                <w:kern w:val="2"/>
                <w:sz w:val="21"/>
                <w:szCs w:val="21"/>
              </w:rPr>
              <w:t xml:space="preserve"> </w:t>
            </w:r>
            <w:r>
              <w:rPr>
                <w:rFonts w:hint="eastAsia" w:ascii="宋体" w:hAnsi="宋体"/>
                <w:kern w:val="2"/>
                <w:sz w:val="21"/>
                <w:szCs w:val="21"/>
                <w:lang w:val="en-US" w:eastAsia="zh-CN"/>
              </w:rPr>
              <w:t>00</w:t>
            </w:r>
            <w:r>
              <w:rPr>
                <w:rFonts w:ascii="宋体" w:hAnsi="宋体"/>
                <w:kern w:val="2"/>
                <w:sz w:val="21"/>
                <w:szCs w:val="21"/>
              </w:rPr>
              <w:t xml:space="preserve"> </w:t>
            </w:r>
            <w:r>
              <w:rPr>
                <w:rFonts w:hint="eastAsia" w:ascii="宋体" w:hAnsi="宋体"/>
                <w:kern w:val="2"/>
                <w:sz w:val="21"/>
                <w:szCs w:val="21"/>
              </w:rPr>
              <w:t>分</w:t>
            </w:r>
            <w:r>
              <w:rPr>
                <w:rFonts w:hint="eastAsia" w:ascii="宋体" w:hAnsi="宋体"/>
                <w:bCs/>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4" w:hRule="atLeas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pStyle w:val="15"/>
              <w:spacing w:line="240" w:lineRule="auto"/>
              <w:jc w:val="center"/>
              <w:rPr>
                <w:rFonts w:ascii="宋体" w:hAnsi="宋体"/>
                <w:sz w:val="21"/>
                <w:szCs w:val="21"/>
                <w:lang w:val="zh-CN"/>
              </w:rPr>
            </w:pPr>
            <w:r>
              <w:rPr>
                <w:rFonts w:hint="eastAsia" w:ascii="宋体" w:hAnsi="宋体"/>
                <w:sz w:val="21"/>
                <w:szCs w:val="21"/>
                <w:lang w:val="zh-CN"/>
              </w:rPr>
              <w:t>响应文件的递交</w:t>
            </w:r>
          </w:p>
        </w:tc>
        <w:tc>
          <w:tcPr>
            <w:tcW w:w="6378" w:type="dxa"/>
            <w:vAlign w:val="center"/>
          </w:tcPr>
          <w:p>
            <w:pPr>
              <w:spacing w:line="240" w:lineRule="auto"/>
              <w:rPr>
                <w:rFonts w:ascii="宋体" w:hAnsi="宋体"/>
                <w:bCs/>
                <w:spacing w:val="10"/>
                <w:sz w:val="21"/>
                <w:szCs w:val="21"/>
              </w:rPr>
            </w:pPr>
            <w:r>
              <w:rPr>
                <w:rFonts w:hint="eastAsia" w:ascii="宋体" w:hAnsi="宋体"/>
                <w:bCs/>
                <w:spacing w:val="10"/>
                <w:sz w:val="21"/>
                <w:szCs w:val="21"/>
              </w:rPr>
              <w:t>1、委托代理人在递交响应文件的同时，须递交一份未封装的《法定代表人授权委托书》和委托代理人身份证原件</w:t>
            </w:r>
            <w:r>
              <w:rPr>
                <w:rFonts w:hint="eastAsia" w:ascii="宋体" w:hAnsi="宋体"/>
                <w:sz w:val="21"/>
                <w:szCs w:val="21"/>
              </w:rPr>
              <w:t>（如由法定代表人递交应手持一份未封装的《法定代表人身份证明》和法定代表人身份证原件）。</w:t>
            </w:r>
            <w:r>
              <w:rPr>
                <w:rFonts w:hint="eastAsia" w:ascii="宋体" w:hAnsi="宋体"/>
                <w:bCs/>
                <w:spacing w:val="10"/>
                <w:sz w:val="21"/>
                <w:szCs w:val="21"/>
              </w:rPr>
              <w:t>未按规定递交《法定代表人授权委托书》或《</w:t>
            </w:r>
            <w:r>
              <w:rPr>
                <w:rFonts w:hint="eastAsia" w:ascii="宋体" w:hAnsi="宋体"/>
                <w:sz w:val="21"/>
                <w:szCs w:val="21"/>
              </w:rPr>
              <w:t>法定代表人身份证明</w:t>
            </w:r>
            <w:r>
              <w:rPr>
                <w:rFonts w:hint="eastAsia" w:ascii="宋体" w:hAnsi="宋体"/>
                <w:bCs/>
                <w:spacing w:val="10"/>
                <w:sz w:val="21"/>
                <w:szCs w:val="21"/>
              </w:rPr>
              <w:t>》和身份证原件的供应商的</w:t>
            </w:r>
            <w:r>
              <w:rPr>
                <w:rFonts w:hint="eastAsia" w:ascii="宋体" w:hAnsi="宋体"/>
                <w:b/>
                <w:bCs/>
                <w:spacing w:val="10"/>
                <w:sz w:val="21"/>
                <w:szCs w:val="21"/>
              </w:rPr>
              <w:t>响应文件将被拒绝</w:t>
            </w:r>
            <w:r>
              <w:rPr>
                <w:rFonts w:hint="eastAsia" w:ascii="宋体" w:hAnsi="宋体"/>
                <w:bCs/>
                <w:spacing w:val="10"/>
                <w:sz w:val="21"/>
                <w:szCs w:val="21"/>
              </w:rPr>
              <w:t>。（规定时间内允许补正）</w:t>
            </w:r>
          </w:p>
          <w:p>
            <w:pPr>
              <w:spacing w:line="240" w:lineRule="auto"/>
              <w:rPr>
                <w:rFonts w:ascii="宋体" w:hAnsi="宋体"/>
                <w:sz w:val="21"/>
                <w:szCs w:val="21"/>
              </w:rPr>
            </w:pPr>
            <w:r>
              <w:rPr>
                <w:rFonts w:hint="eastAsia" w:ascii="宋体" w:hAnsi="宋体"/>
                <w:bCs/>
                <w:spacing w:val="10"/>
                <w:sz w:val="21"/>
                <w:szCs w:val="21"/>
              </w:rPr>
              <w:t>未封装的《法定代表人授权委托书》须与供应商提交的响应文件内的《法定代表人授权委托书》一致，</w:t>
            </w:r>
            <w:r>
              <w:rPr>
                <w:rFonts w:hint="eastAsia" w:ascii="宋体" w:hAnsi="宋体"/>
                <w:sz w:val="21"/>
                <w:szCs w:val="21"/>
              </w:rPr>
              <w:t>若供应商提供的不一致，其</w:t>
            </w:r>
            <w:r>
              <w:rPr>
                <w:rFonts w:hint="eastAsia" w:ascii="宋体" w:hAnsi="宋体"/>
                <w:b/>
                <w:sz w:val="21"/>
                <w:szCs w:val="21"/>
              </w:rPr>
              <w:t>响应将被否绝</w:t>
            </w:r>
            <w:r>
              <w:rPr>
                <w:rFonts w:hint="eastAsia" w:ascii="宋体" w:hAnsi="宋体"/>
                <w:sz w:val="21"/>
                <w:szCs w:val="21"/>
              </w:rPr>
              <w:t>。</w:t>
            </w:r>
          </w:p>
          <w:p>
            <w:pPr>
              <w:spacing w:line="240" w:lineRule="auto"/>
              <w:rPr>
                <w:rFonts w:ascii="宋体" w:hAnsi="宋体"/>
                <w:bCs/>
                <w:spacing w:val="10"/>
                <w:sz w:val="21"/>
                <w:szCs w:val="21"/>
              </w:rPr>
            </w:pPr>
            <w:r>
              <w:rPr>
                <w:rFonts w:hint="eastAsia" w:ascii="宋体" w:hAnsi="宋体"/>
                <w:bCs/>
                <w:spacing w:val="10"/>
                <w:sz w:val="21"/>
                <w:szCs w:val="21"/>
              </w:rPr>
              <w:t>2、供应商应保证公司名称、公章和其授权的委托代理人的唯一性，若响应文件与购买磋商文件时提供的文件的公司名称、公章及其授权的委托代理人不一致，其</w:t>
            </w:r>
            <w:r>
              <w:rPr>
                <w:rFonts w:hint="eastAsia" w:ascii="宋体" w:hAnsi="宋体"/>
                <w:b/>
                <w:bCs/>
                <w:spacing w:val="10"/>
                <w:sz w:val="21"/>
                <w:szCs w:val="21"/>
              </w:rPr>
              <w:t>响应文件将被拒绝</w:t>
            </w:r>
            <w:r>
              <w:rPr>
                <w:rFonts w:hint="eastAsia" w:ascii="宋体" w:hAnsi="宋体"/>
                <w:bCs/>
                <w:spacing w:val="10"/>
                <w:sz w:val="21"/>
                <w:szCs w:val="21"/>
              </w:rPr>
              <w:t>。（规定时间内允许补正）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675" w:type="dxa"/>
            <w:vAlign w:val="center"/>
          </w:tcPr>
          <w:p>
            <w:pPr>
              <w:numPr>
                <w:ilvl w:val="0"/>
                <w:numId w:val="8"/>
              </w:numPr>
              <w:spacing w:line="240" w:lineRule="auto"/>
              <w:jc w:val="center"/>
              <w:rPr>
                <w:rFonts w:ascii="宋体" w:hAnsi="宋体"/>
                <w:bCs/>
                <w:sz w:val="21"/>
                <w:szCs w:val="21"/>
              </w:rPr>
            </w:pPr>
          </w:p>
        </w:tc>
        <w:tc>
          <w:tcPr>
            <w:tcW w:w="2127" w:type="dxa"/>
            <w:vAlign w:val="center"/>
          </w:tcPr>
          <w:p>
            <w:pPr>
              <w:pStyle w:val="15"/>
              <w:spacing w:line="240" w:lineRule="auto"/>
              <w:jc w:val="center"/>
              <w:rPr>
                <w:rFonts w:ascii="宋体" w:hAnsi="宋体"/>
                <w:sz w:val="21"/>
                <w:szCs w:val="21"/>
                <w:lang w:val="zh-CN"/>
              </w:rPr>
            </w:pPr>
            <w:r>
              <w:rPr>
                <w:rFonts w:hint="eastAsia" w:ascii="宋体" w:hAnsi="宋体"/>
                <w:sz w:val="21"/>
                <w:szCs w:val="21"/>
                <w:lang w:val="zh-CN"/>
              </w:rPr>
              <w:t>响应文件的密封、标记</w:t>
            </w:r>
          </w:p>
        </w:tc>
        <w:tc>
          <w:tcPr>
            <w:tcW w:w="6378" w:type="dxa"/>
            <w:vAlign w:val="center"/>
          </w:tcPr>
          <w:p>
            <w:pPr>
              <w:pStyle w:val="15"/>
              <w:spacing w:line="240" w:lineRule="auto"/>
              <w:rPr>
                <w:rFonts w:ascii="宋体" w:hAnsi="宋体"/>
                <w:sz w:val="21"/>
                <w:szCs w:val="21"/>
                <w:lang w:val="zh-CN"/>
              </w:rPr>
            </w:pPr>
            <w:r>
              <w:rPr>
                <w:rFonts w:hint="eastAsia" w:ascii="宋体" w:hAnsi="宋体"/>
                <w:bCs/>
                <w:spacing w:val="10"/>
                <w:sz w:val="21"/>
                <w:szCs w:val="21"/>
              </w:rPr>
              <w:t>供应商应按磋商文件要求对“响应文件、电子响应文件、资格审查文件、报价一览表”进行密封及加写标记，</w:t>
            </w:r>
            <w:r>
              <w:rPr>
                <w:rFonts w:hint="eastAsia" w:ascii="宋体" w:hAnsi="宋体"/>
                <w:spacing w:val="10"/>
                <w:sz w:val="21"/>
                <w:szCs w:val="21"/>
              </w:rPr>
              <w:t>未按磋商文件要求密封及加写标记的</w:t>
            </w:r>
            <w:r>
              <w:rPr>
                <w:rFonts w:hint="eastAsia" w:ascii="宋体" w:hAnsi="宋体"/>
                <w:bCs/>
                <w:spacing w:val="10"/>
                <w:sz w:val="21"/>
                <w:szCs w:val="21"/>
              </w:rPr>
              <w:t>，采购人或采购代理机构将</w:t>
            </w:r>
            <w:r>
              <w:rPr>
                <w:rFonts w:hint="eastAsia" w:ascii="宋体" w:hAnsi="宋体"/>
                <w:b/>
                <w:bCs/>
                <w:spacing w:val="10"/>
                <w:sz w:val="21"/>
                <w:szCs w:val="21"/>
              </w:rPr>
              <w:t>拒绝接收</w:t>
            </w:r>
            <w:r>
              <w:rPr>
                <w:rFonts w:hint="eastAsia" w:ascii="宋体" w:hAnsi="宋体"/>
                <w:bCs/>
                <w:spacing w:val="10"/>
                <w:sz w:val="21"/>
                <w:szCs w:val="21"/>
              </w:rPr>
              <w:t>。（规定时间内允许补正）</w:t>
            </w:r>
          </w:p>
        </w:tc>
      </w:tr>
    </w:tbl>
    <w:p>
      <w:pPr>
        <w:autoSpaceDE w:val="0"/>
        <w:autoSpaceDN w:val="0"/>
        <w:rPr>
          <w:rFonts w:ascii="宋体" w:hAnsi="宋体"/>
          <w:b/>
          <w:sz w:val="21"/>
          <w:szCs w:val="21"/>
          <w:lang w:val="zh-CN"/>
        </w:rPr>
      </w:pPr>
      <w:bookmarkStart w:id="48" w:name="_Toc86202581"/>
      <w:r>
        <w:rPr>
          <w:rFonts w:hint="eastAsia" w:ascii="宋体" w:hAnsi="宋体"/>
          <w:b/>
          <w:sz w:val="21"/>
          <w:szCs w:val="21"/>
          <w:lang w:val="zh-CN"/>
        </w:rPr>
        <w:t>说明：本表内容若与磋商文件其他内容不一致，应当以本表内容为准。</w:t>
      </w:r>
    </w:p>
    <w:p>
      <w:pPr>
        <w:pStyle w:val="4"/>
        <w:rPr>
          <w:lang w:val="zh-CN"/>
        </w:rPr>
      </w:pPr>
      <w:r>
        <w:br w:type="page"/>
      </w:r>
      <w:r>
        <w:rPr>
          <w:rFonts w:hint="eastAsia"/>
        </w:rPr>
        <w:t>二</w:t>
      </w:r>
      <w:r>
        <w:rPr>
          <w:rFonts w:hint="eastAsia"/>
          <w:lang w:val="zh-CN"/>
        </w:rPr>
        <w:t>、合同通用条款前附表</w:t>
      </w:r>
    </w:p>
    <w:tbl>
      <w:tblPr>
        <w:tblStyle w:val="34"/>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60"/>
        <w:gridCol w:w="6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vAlign w:val="center"/>
          </w:tcPr>
          <w:p>
            <w:pPr>
              <w:autoSpaceDE w:val="0"/>
              <w:autoSpaceDN w:val="0"/>
              <w:spacing w:line="300" w:lineRule="exact"/>
              <w:jc w:val="center"/>
              <w:rPr>
                <w:rFonts w:ascii="宋体" w:hAnsi="宋体"/>
                <w:b/>
                <w:sz w:val="21"/>
                <w:szCs w:val="21"/>
              </w:rPr>
            </w:pPr>
            <w:r>
              <w:rPr>
                <w:rFonts w:hint="eastAsia" w:ascii="宋体" w:hAnsi="宋体"/>
                <w:b/>
                <w:sz w:val="21"/>
                <w:szCs w:val="21"/>
              </w:rPr>
              <w:t>序号</w:t>
            </w:r>
          </w:p>
        </w:tc>
        <w:tc>
          <w:tcPr>
            <w:tcW w:w="1560" w:type="dxa"/>
            <w:vAlign w:val="center"/>
          </w:tcPr>
          <w:p>
            <w:pPr>
              <w:autoSpaceDE w:val="0"/>
              <w:autoSpaceDN w:val="0"/>
              <w:spacing w:line="300" w:lineRule="exact"/>
              <w:jc w:val="center"/>
              <w:rPr>
                <w:rFonts w:ascii="宋体" w:hAnsi="宋体"/>
                <w:b/>
                <w:sz w:val="21"/>
                <w:szCs w:val="21"/>
              </w:rPr>
            </w:pPr>
            <w:r>
              <w:rPr>
                <w:rFonts w:hint="eastAsia" w:ascii="宋体" w:hAnsi="宋体"/>
                <w:b/>
                <w:sz w:val="21"/>
                <w:szCs w:val="21"/>
                <w:lang w:val="zh-CN"/>
              </w:rPr>
              <w:t>内容</w:t>
            </w:r>
          </w:p>
        </w:tc>
        <w:tc>
          <w:tcPr>
            <w:tcW w:w="6945" w:type="dxa"/>
            <w:vAlign w:val="center"/>
          </w:tcPr>
          <w:p>
            <w:pPr>
              <w:autoSpaceDE w:val="0"/>
              <w:autoSpaceDN w:val="0"/>
              <w:spacing w:line="300" w:lineRule="exact"/>
              <w:jc w:val="center"/>
              <w:rPr>
                <w:rFonts w:ascii="宋体" w:hAnsi="宋体"/>
                <w:b/>
                <w:sz w:val="21"/>
                <w:szCs w:val="21"/>
              </w:rPr>
            </w:pPr>
            <w:r>
              <w:rPr>
                <w:rFonts w:hint="eastAsia" w:ascii="宋体" w:hAnsi="宋体"/>
                <w:b/>
                <w:sz w:val="21"/>
                <w:szCs w:val="21"/>
                <w:lang w:val="zh-CN"/>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exact"/>
        </w:trPr>
        <w:tc>
          <w:tcPr>
            <w:tcW w:w="675"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rPr>
              <w:t>1</w:t>
            </w:r>
          </w:p>
        </w:tc>
        <w:tc>
          <w:tcPr>
            <w:tcW w:w="1560"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lang w:val="zh-CN"/>
              </w:rPr>
              <w:t>交货期</w:t>
            </w:r>
          </w:p>
        </w:tc>
        <w:tc>
          <w:tcPr>
            <w:tcW w:w="6945" w:type="dxa"/>
            <w:vAlign w:val="center"/>
          </w:tcPr>
          <w:p>
            <w:pPr>
              <w:rPr>
                <w:rFonts w:ascii="宋体" w:hAnsi="宋体"/>
                <w:sz w:val="21"/>
                <w:szCs w:val="21"/>
                <w:lang w:val="zh-CN"/>
              </w:rPr>
            </w:pPr>
            <w:r>
              <w:rPr>
                <w:rFonts w:hint="eastAsia" w:ascii="宋体" w:hAnsi="宋体"/>
                <w:sz w:val="21"/>
                <w:szCs w:val="21"/>
                <w:lang w:val="zh-CN"/>
              </w:rPr>
              <w:t>自签订合同之日起</w:t>
            </w:r>
            <w:r>
              <w:rPr>
                <w:rFonts w:hint="eastAsia" w:ascii="宋体" w:hAnsi="宋体"/>
                <w:sz w:val="21"/>
                <w:szCs w:val="21"/>
                <w:lang w:val="en-US" w:eastAsia="zh-CN"/>
              </w:rPr>
              <w:t>2</w:t>
            </w:r>
            <w:r>
              <w:rPr>
                <w:rFonts w:hint="eastAsia" w:ascii="宋体" w:hAnsi="宋体"/>
                <w:sz w:val="21"/>
                <w:szCs w:val="21"/>
                <w:lang w:val="zh-CN"/>
              </w:rPr>
              <w:t>0个日历日内到货，并安装调试完成通过采购人验收。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rPr>
              <w:t>2</w:t>
            </w:r>
          </w:p>
        </w:tc>
        <w:tc>
          <w:tcPr>
            <w:tcW w:w="1560" w:type="dxa"/>
            <w:vAlign w:val="center"/>
          </w:tcPr>
          <w:p>
            <w:pPr>
              <w:autoSpaceDE w:val="0"/>
              <w:autoSpaceDN w:val="0"/>
              <w:spacing w:line="300" w:lineRule="exact"/>
              <w:jc w:val="center"/>
              <w:rPr>
                <w:rFonts w:ascii="宋体" w:hAnsi="宋体"/>
                <w:sz w:val="21"/>
                <w:szCs w:val="21"/>
                <w:lang w:val="zh-CN"/>
              </w:rPr>
            </w:pPr>
            <w:r>
              <w:rPr>
                <w:rFonts w:hint="eastAsia" w:ascii="宋体" w:hAnsi="宋体"/>
                <w:sz w:val="21"/>
                <w:szCs w:val="21"/>
                <w:lang w:val="zh-CN"/>
              </w:rPr>
              <w:t>质保期</w:t>
            </w:r>
          </w:p>
        </w:tc>
        <w:tc>
          <w:tcPr>
            <w:tcW w:w="6945" w:type="dxa"/>
            <w:vAlign w:val="center"/>
          </w:tcPr>
          <w:p>
            <w:pPr>
              <w:rPr>
                <w:rFonts w:ascii="宋体" w:hAnsi="宋体"/>
                <w:sz w:val="21"/>
                <w:szCs w:val="21"/>
                <w:lang w:val="zh-CN"/>
              </w:rPr>
            </w:pPr>
            <w:r>
              <w:rPr>
                <w:rFonts w:hint="eastAsia" w:ascii="宋体" w:hAnsi="宋体"/>
                <w:sz w:val="21"/>
                <w:szCs w:val="21"/>
                <w:lang w:val="zh-CN"/>
              </w:rPr>
              <w:t>自验收合格之日1年，招标文件另有规定的除外。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rPr>
              <w:t>3</w:t>
            </w:r>
          </w:p>
        </w:tc>
        <w:tc>
          <w:tcPr>
            <w:tcW w:w="1560"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lang w:val="zh-CN"/>
              </w:rPr>
              <w:t>交货地点</w:t>
            </w:r>
          </w:p>
        </w:tc>
        <w:tc>
          <w:tcPr>
            <w:tcW w:w="6945" w:type="dxa"/>
            <w:vAlign w:val="center"/>
          </w:tcPr>
          <w:p>
            <w:pPr>
              <w:autoSpaceDE w:val="0"/>
              <w:autoSpaceDN w:val="0"/>
              <w:spacing w:line="300" w:lineRule="exact"/>
              <w:jc w:val="both"/>
              <w:rPr>
                <w:rFonts w:ascii="宋体" w:hAnsi="宋体"/>
                <w:sz w:val="21"/>
                <w:szCs w:val="21"/>
              </w:rPr>
            </w:pPr>
            <w:r>
              <w:rPr>
                <w:rFonts w:hint="eastAsia" w:ascii="宋体" w:hAnsi="宋体"/>
                <w:sz w:val="21"/>
                <w:szCs w:val="21"/>
                <w:lang w:val="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rPr>
              <w:t>4</w:t>
            </w:r>
          </w:p>
        </w:tc>
        <w:tc>
          <w:tcPr>
            <w:tcW w:w="1560"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lang w:val="zh-CN"/>
              </w:rPr>
              <w:t>运输方式</w:t>
            </w:r>
          </w:p>
        </w:tc>
        <w:tc>
          <w:tcPr>
            <w:tcW w:w="6945" w:type="dxa"/>
            <w:vAlign w:val="center"/>
          </w:tcPr>
          <w:p>
            <w:pPr>
              <w:autoSpaceDE w:val="0"/>
              <w:autoSpaceDN w:val="0"/>
              <w:spacing w:line="300" w:lineRule="exact"/>
              <w:jc w:val="both"/>
              <w:rPr>
                <w:rFonts w:ascii="宋体" w:hAnsi="宋体"/>
                <w:sz w:val="21"/>
                <w:szCs w:val="21"/>
                <w:lang w:val="zh-CN"/>
              </w:rPr>
            </w:pPr>
            <w:r>
              <w:rPr>
                <w:rFonts w:hint="eastAsia" w:ascii="宋体" w:hAnsi="宋体"/>
                <w:sz w:val="21"/>
                <w:szCs w:val="21"/>
                <w:lang w:val="zh-CN"/>
              </w:rPr>
              <w:t>不限，按一般贸易要求。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exact"/>
        </w:trPr>
        <w:tc>
          <w:tcPr>
            <w:tcW w:w="675"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rPr>
              <w:t>5</w:t>
            </w:r>
          </w:p>
        </w:tc>
        <w:tc>
          <w:tcPr>
            <w:tcW w:w="1560" w:type="dxa"/>
            <w:vAlign w:val="center"/>
          </w:tcPr>
          <w:p>
            <w:pPr>
              <w:autoSpaceDE w:val="0"/>
              <w:autoSpaceDN w:val="0"/>
              <w:spacing w:line="300" w:lineRule="exact"/>
              <w:jc w:val="center"/>
              <w:rPr>
                <w:rFonts w:ascii="宋体" w:hAnsi="宋体"/>
                <w:sz w:val="21"/>
                <w:szCs w:val="21"/>
                <w:lang w:val="zh-CN"/>
              </w:rPr>
            </w:pPr>
            <w:r>
              <w:rPr>
                <w:rFonts w:hint="eastAsia" w:ascii="宋体" w:hAnsi="宋体"/>
                <w:sz w:val="21"/>
                <w:szCs w:val="21"/>
                <w:lang w:val="zh-CN"/>
              </w:rPr>
              <w:t>技术服务</w:t>
            </w:r>
          </w:p>
        </w:tc>
        <w:tc>
          <w:tcPr>
            <w:tcW w:w="6945" w:type="dxa"/>
            <w:vAlign w:val="center"/>
          </w:tcPr>
          <w:p>
            <w:pPr>
              <w:autoSpaceDE w:val="0"/>
              <w:autoSpaceDN w:val="0"/>
              <w:spacing w:line="300" w:lineRule="exact"/>
              <w:jc w:val="both"/>
              <w:rPr>
                <w:rFonts w:ascii="宋体" w:hAnsi="宋体"/>
                <w:sz w:val="21"/>
                <w:szCs w:val="21"/>
                <w:lang w:val="zh-CN"/>
              </w:rPr>
            </w:pPr>
            <w:r>
              <w:rPr>
                <w:rFonts w:hint="eastAsia" w:ascii="宋体" w:hAnsi="宋体"/>
                <w:sz w:val="21"/>
                <w:szCs w:val="21"/>
                <w:lang w:val="zh-CN"/>
              </w:rPr>
              <w:t>成交供应商应对采购人相关人员进行培训，免费提供技术支持等全过程服务。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3" w:hRule="exact"/>
        </w:trPr>
        <w:tc>
          <w:tcPr>
            <w:tcW w:w="675" w:type="dxa"/>
            <w:vAlign w:val="center"/>
          </w:tcPr>
          <w:p>
            <w:pPr>
              <w:spacing w:line="300" w:lineRule="exact"/>
              <w:jc w:val="center"/>
              <w:rPr>
                <w:rFonts w:ascii="宋体" w:hAnsi="宋体"/>
                <w:bCs/>
                <w:sz w:val="21"/>
                <w:szCs w:val="21"/>
              </w:rPr>
            </w:pPr>
            <w:r>
              <w:rPr>
                <w:rFonts w:hint="eastAsia" w:ascii="宋体" w:hAnsi="宋体"/>
                <w:bCs/>
                <w:sz w:val="21"/>
                <w:szCs w:val="21"/>
              </w:rPr>
              <w:t>6</w:t>
            </w:r>
          </w:p>
        </w:tc>
        <w:tc>
          <w:tcPr>
            <w:tcW w:w="1560" w:type="dxa"/>
            <w:vAlign w:val="center"/>
          </w:tcPr>
          <w:p>
            <w:pPr>
              <w:autoSpaceDE w:val="0"/>
              <w:autoSpaceDN w:val="0"/>
              <w:spacing w:line="300" w:lineRule="exact"/>
              <w:jc w:val="center"/>
              <w:rPr>
                <w:rFonts w:ascii="宋体" w:hAnsi="宋体"/>
                <w:sz w:val="21"/>
                <w:szCs w:val="21"/>
                <w:lang w:val="zh-CN"/>
              </w:rPr>
            </w:pPr>
            <w:r>
              <w:rPr>
                <w:rFonts w:hint="eastAsia" w:ascii="宋体" w:hAnsi="宋体"/>
                <w:sz w:val="21"/>
                <w:szCs w:val="21"/>
                <w:lang w:val="zh-CN"/>
              </w:rPr>
              <w:t>售后服务</w:t>
            </w:r>
          </w:p>
        </w:tc>
        <w:tc>
          <w:tcPr>
            <w:tcW w:w="6945" w:type="dxa"/>
            <w:vAlign w:val="center"/>
          </w:tcPr>
          <w:p>
            <w:pPr>
              <w:autoSpaceDE w:val="0"/>
              <w:autoSpaceDN w:val="0"/>
              <w:spacing w:line="300" w:lineRule="exact"/>
              <w:jc w:val="both"/>
              <w:rPr>
                <w:rFonts w:ascii="宋体" w:hAnsi="宋体"/>
                <w:sz w:val="21"/>
                <w:szCs w:val="21"/>
                <w:lang w:val="zh-CN"/>
              </w:rPr>
            </w:pPr>
            <w:r>
              <w:rPr>
                <w:rFonts w:hint="eastAsia" w:ascii="宋体" w:hAnsi="宋体"/>
                <w:sz w:val="21"/>
                <w:szCs w:val="21"/>
                <w:lang w:val="zh-CN"/>
              </w:rPr>
              <w:t>1、质保期内的服务要求：按厂家标准保修，保修期内</w:t>
            </w:r>
            <w:r>
              <w:rPr>
                <w:rFonts w:ascii="宋体" w:hAnsi="宋体"/>
                <w:sz w:val="21"/>
                <w:szCs w:val="21"/>
                <w:lang w:val="zh-CN"/>
              </w:rPr>
              <w:t>产品出现故障，</w:t>
            </w:r>
            <w:r>
              <w:rPr>
                <w:rFonts w:hint="eastAsia" w:ascii="宋体" w:hAnsi="宋体"/>
                <w:sz w:val="21"/>
                <w:szCs w:val="21"/>
                <w:lang w:val="zh-CN"/>
              </w:rPr>
              <w:t>自接到需方报障电话起30分钟内电话</w:t>
            </w:r>
            <w:r>
              <w:rPr>
                <w:rFonts w:ascii="宋体" w:hAnsi="宋体"/>
                <w:sz w:val="21"/>
                <w:szCs w:val="21"/>
                <w:lang w:val="zh-CN"/>
              </w:rPr>
              <w:t>响应</w:t>
            </w:r>
            <w:r>
              <w:rPr>
                <w:rFonts w:hint="eastAsia" w:ascii="宋体" w:hAnsi="宋体"/>
                <w:sz w:val="21"/>
                <w:szCs w:val="21"/>
                <w:lang w:val="zh-CN"/>
              </w:rPr>
              <w:t>指导</w:t>
            </w:r>
            <w:r>
              <w:rPr>
                <w:rFonts w:ascii="宋体" w:hAnsi="宋体"/>
                <w:sz w:val="21"/>
                <w:szCs w:val="21"/>
                <w:lang w:val="zh-CN"/>
              </w:rPr>
              <w:t>。</w:t>
            </w:r>
            <w:r>
              <w:rPr>
                <w:rFonts w:hint="eastAsia" w:ascii="宋体" w:hAnsi="宋体"/>
                <w:sz w:val="21"/>
                <w:szCs w:val="21"/>
                <w:lang w:val="zh-CN"/>
              </w:rPr>
              <w:t>如仍无法排除故障，自接到需方报障电话起12小时内赶到现场维修。</w:t>
            </w:r>
          </w:p>
          <w:p>
            <w:pPr>
              <w:autoSpaceDE w:val="0"/>
              <w:autoSpaceDN w:val="0"/>
              <w:spacing w:line="300" w:lineRule="exact"/>
              <w:jc w:val="both"/>
              <w:rPr>
                <w:rFonts w:ascii="宋体" w:hAnsi="宋体"/>
                <w:sz w:val="21"/>
                <w:szCs w:val="21"/>
                <w:lang w:val="zh-CN"/>
              </w:rPr>
            </w:pPr>
            <w:r>
              <w:rPr>
                <w:rFonts w:hint="eastAsia" w:ascii="宋体" w:hAnsi="宋体"/>
                <w:sz w:val="21"/>
                <w:szCs w:val="21"/>
                <w:lang w:val="zh-CN"/>
              </w:rPr>
              <w:t>2、质保期满后的服务要求：供应商应保证以最优惠的价格提供备品备件、保养、维修服务，当产品发生故障时，供应商应按质保期内同样的要求进行维修处理。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2" w:hRule="exact"/>
        </w:trPr>
        <w:tc>
          <w:tcPr>
            <w:tcW w:w="675" w:type="dxa"/>
            <w:vAlign w:val="center"/>
          </w:tcPr>
          <w:p>
            <w:pPr>
              <w:spacing w:line="300" w:lineRule="exact"/>
              <w:jc w:val="center"/>
              <w:rPr>
                <w:rFonts w:ascii="宋体" w:hAnsi="宋体"/>
                <w:bCs/>
                <w:sz w:val="21"/>
                <w:szCs w:val="21"/>
              </w:rPr>
            </w:pPr>
            <w:r>
              <w:rPr>
                <w:rFonts w:hint="eastAsia" w:ascii="宋体" w:hAnsi="宋体"/>
                <w:bCs/>
                <w:sz w:val="21"/>
                <w:szCs w:val="21"/>
              </w:rPr>
              <w:t>7</w:t>
            </w:r>
          </w:p>
        </w:tc>
        <w:tc>
          <w:tcPr>
            <w:tcW w:w="1560"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lang w:val="zh-CN"/>
              </w:rPr>
              <w:t>验收</w:t>
            </w:r>
          </w:p>
        </w:tc>
        <w:tc>
          <w:tcPr>
            <w:tcW w:w="6945" w:type="dxa"/>
            <w:vAlign w:val="center"/>
          </w:tcPr>
          <w:p>
            <w:pPr>
              <w:autoSpaceDE w:val="0"/>
              <w:autoSpaceDN w:val="0"/>
              <w:spacing w:line="240" w:lineRule="auto"/>
              <w:textAlignment w:val="auto"/>
              <w:rPr>
                <w:rFonts w:ascii="宋体" w:hAnsi="宋体"/>
                <w:sz w:val="21"/>
                <w:szCs w:val="21"/>
                <w:lang w:val="zh-CN"/>
              </w:rPr>
            </w:pPr>
            <w:r>
              <w:rPr>
                <w:rFonts w:hint="eastAsia" w:ascii="宋体" w:hAnsi="宋体"/>
                <w:kern w:val="2"/>
                <w:sz w:val="21"/>
                <w:szCs w:val="21"/>
                <w:lang w:val="zh-CN"/>
              </w:rPr>
              <w:t>在货物到达使用场地后，成交供应商应在24小时内派技术人员到达现场，在采购人技术人员在场的情况下按合同和磋商、响应文件约定的要求和标准等清点货物，直至顺利通过验收交付采购人。</w:t>
            </w:r>
          </w:p>
          <w:p>
            <w:pPr>
              <w:autoSpaceDE w:val="0"/>
              <w:autoSpaceDN w:val="0"/>
              <w:spacing w:line="300" w:lineRule="exact"/>
              <w:jc w:val="both"/>
              <w:rPr>
                <w:rFonts w:ascii="宋体" w:hAnsi="宋体"/>
                <w:sz w:val="21"/>
                <w:szCs w:val="21"/>
                <w:lang w:val="zh-CN"/>
              </w:rPr>
            </w:pPr>
            <w:r>
              <w:rPr>
                <w:rFonts w:hint="eastAsia" w:ascii="宋体" w:hAnsi="宋体"/>
                <w:sz w:val="21"/>
                <w:szCs w:val="21"/>
                <w:lang w:val="zh-CN"/>
              </w:rPr>
              <w:t>采购人根据货物的技术规格要求和质量标准，对货物进行检查验收。符合国家有关技术规范和标准。</w:t>
            </w:r>
          </w:p>
          <w:p>
            <w:pPr>
              <w:autoSpaceDE w:val="0"/>
              <w:autoSpaceDN w:val="0"/>
              <w:spacing w:line="300" w:lineRule="exact"/>
              <w:jc w:val="both"/>
              <w:rPr>
                <w:rFonts w:ascii="宋体" w:hAnsi="宋体"/>
                <w:sz w:val="21"/>
                <w:szCs w:val="21"/>
                <w:lang w:val="zh-CN"/>
              </w:rPr>
            </w:pPr>
            <w:r>
              <w:rPr>
                <w:rFonts w:hint="eastAsia" w:ascii="宋体" w:hAnsi="宋体"/>
                <w:b/>
                <w:sz w:val="21"/>
                <w:szCs w:val="21"/>
                <w:lang w:val="zh-CN"/>
              </w:rPr>
              <w:t>注：如经核查所提供货物不符合磋商、响应文件或合同要求，采购人有权拒绝履行合同，其损失由成交供应商承担。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7" w:hRule="atLeast"/>
        </w:trPr>
        <w:tc>
          <w:tcPr>
            <w:tcW w:w="675" w:type="dxa"/>
            <w:vAlign w:val="center"/>
          </w:tcPr>
          <w:p>
            <w:pPr>
              <w:spacing w:line="300" w:lineRule="exact"/>
              <w:jc w:val="center"/>
              <w:rPr>
                <w:rFonts w:ascii="宋体" w:hAnsi="宋体"/>
                <w:bCs/>
                <w:sz w:val="21"/>
                <w:szCs w:val="21"/>
              </w:rPr>
            </w:pPr>
            <w:r>
              <w:rPr>
                <w:rFonts w:hint="eastAsia" w:ascii="宋体" w:hAnsi="宋体"/>
                <w:bCs/>
                <w:sz w:val="21"/>
                <w:szCs w:val="21"/>
              </w:rPr>
              <w:t>8</w:t>
            </w:r>
          </w:p>
        </w:tc>
        <w:tc>
          <w:tcPr>
            <w:tcW w:w="1560" w:type="dxa"/>
            <w:vAlign w:val="center"/>
          </w:tcPr>
          <w:p>
            <w:pPr>
              <w:autoSpaceDE w:val="0"/>
              <w:autoSpaceDN w:val="0"/>
              <w:spacing w:line="300" w:lineRule="exact"/>
              <w:jc w:val="center"/>
              <w:rPr>
                <w:rFonts w:ascii="宋体" w:hAnsi="宋体"/>
                <w:sz w:val="21"/>
                <w:szCs w:val="21"/>
              </w:rPr>
            </w:pPr>
            <w:r>
              <w:rPr>
                <w:rFonts w:hint="eastAsia" w:ascii="宋体" w:hAnsi="宋体"/>
                <w:sz w:val="21"/>
                <w:szCs w:val="21"/>
                <w:lang w:val="zh-CN"/>
              </w:rPr>
              <w:t>供应商报价</w:t>
            </w:r>
          </w:p>
        </w:tc>
        <w:tc>
          <w:tcPr>
            <w:tcW w:w="6945" w:type="dxa"/>
            <w:vAlign w:val="center"/>
          </w:tcPr>
          <w:p>
            <w:pPr>
              <w:autoSpaceDE w:val="0"/>
              <w:autoSpaceDN w:val="0"/>
              <w:spacing w:line="276" w:lineRule="auto"/>
              <w:rPr>
                <w:rFonts w:ascii="宋体" w:hAnsi="宋体"/>
                <w:sz w:val="21"/>
                <w:szCs w:val="21"/>
                <w:lang w:val="zh-CN"/>
              </w:rPr>
            </w:pPr>
            <w:r>
              <w:rPr>
                <w:rFonts w:hint="eastAsia" w:ascii="宋体" w:hAnsi="宋体"/>
                <w:sz w:val="21"/>
                <w:szCs w:val="21"/>
                <w:lang w:val="zh-CN"/>
              </w:rPr>
              <w:t>标明拟提供货物的单价，包含货物制造、包装、运输、施工、安装、调试、培训和售后服务等全部工作（含保险、卸车费）。报价一览表中标明的价格采用“总价包干”的方式，供应商应充分考虑各类材料的市场风险和国家政策性调价的风险，响应报价一经成交后，供应商均不能作任何调整。对于采购内容中未列明，而供应商认为必须的费用也需列入总报价中。在合同实施时，采购人将不予支付成交供应商没有列入的项目费用，并认为此项目费用已包括在总报价中。</w:t>
            </w:r>
          </w:p>
          <w:p>
            <w:pPr>
              <w:autoSpaceDE w:val="0"/>
              <w:autoSpaceDN w:val="0"/>
              <w:spacing w:line="300" w:lineRule="exact"/>
              <w:jc w:val="both"/>
              <w:rPr>
                <w:rFonts w:ascii="宋体" w:hAnsi="宋体"/>
                <w:b/>
                <w:sz w:val="21"/>
                <w:szCs w:val="21"/>
                <w:lang w:val="zh-CN"/>
              </w:rPr>
            </w:pPr>
            <w:r>
              <w:rPr>
                <w:rFonts w:hint="eastAsia" w:ascii="宋体" w:hAnsi="宋体"/>
                <w:b/>
                <w:sz w:val="21"/>
                <w:szCs w:val="21"/>
                <w:lang w:val="zh-CN"/>
              </w:rPr>
              <w:t>注：供应商应承诺当采购人所购货物种类、数量发生变化时，保证所提供的价格折扣水平、售后服务等方面的各种优惠条件不变。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exact"/>
        </w:trPr>
        <w:tc>
          <w:tcPr>
            <w:tcW w:w="675" w:type="dxa"/>
            <w:vAlign w:val="center"/>
          </w:tcPr>
          <w:p>
            <w:pPr>
              <w:spacing w:line="300" w:lineRule="exact"/>
              <w:jc w:val="center"/>
              <w:rPr>
                <w:rFonts w:ascii="宋体" w:hAnsi="宋体"/>
                <w:bCs/>
                <w:sz w:val="21"/>
                <w:szCs w:val="21"/>
              </w:rPr>
            </w:pPr>
            <w:r>
              <w:rPr>
                <w:rFonts w:hint="eastAsia" w:ascii="宋体" w:hAnsi="宋体"/>
                <w:bCs/>
                <w:sz w:val="21"/>
                <w:szCs w:val="21"/>
              </w:rPr>
              <w:t>9</w:t>
            </w:r>
          </w:p>
        </w:tc>
        <w:tc>
          <w:tcPr>
            <w:tcW w:w="1560" w:type="dxa"/>
            <w:vAlign w:val="center"/>
          </w:tcPr>
          <w:p>
            <w:pPr>
              <w:spacing w:line="300" w:lineRule="exact"/>
              <w:jc w:val="center"/>
              <w:rPr>
                <w:rFonts w:ascii="宋体" w:hAnsi="宋体"/>
                <w:sz w:val="21"/>
                <w:szCs w:val="21"/>
                <w:lang w:val="zh-CN"/>
              </w:rPr>
            </w:pPr>
            <w:r>
              <w:rPr>
                <w:rFonts w:hint="eastAsia" w:ascii="宋体" w:hAnsi="宋体"/>
                <w:sz w:val="21"/>
                <w:szCs w:val="21"/>
                <w:lang w:val="zh-CN"/>
              </w:rPr>
              <w:t>付款方式</w:t>
            </w:r>
          </w:p>
        </w:tc>
        <w:tc>
          <w:tcPr>
            <w:tcW w:w="6945" w:type="dxa"/>
            <w:vAlign w:val="center"/>
          </w:tcPr>
          <w:p>
            <w:pPr>
              <w:spacing w:line="300" w:lineRule="exact"/>
              <w:rPr>
                <w:rFonts w:ascii="宋体" w:hAnsi="宋体"/>
                <w:sz w:val="21"/>
                <w:szCs w:val="21"/>
                <w:lang w:val="zh-CN"/>
              </w:rPr>
            </w:pPr>
            <w:r>
              <w:rPr>
                <w:rFonts w:hint="eastAsia" w:ascii="宋体" w:hAnsi="宋体"/>
                <w:sz w:val="21"/>
                <w:szCs w:val="21"/>
                <w:lang w:val="zh-CN"/>
              </w:rPr>
              <w:t>详见合同。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75" w:type="dxa"/>
            <w:vAlign w:val="center"/>
          </w:tcPr>
          <w:p>
            <w:pPr>
              <w:spacing w:line="300" w:lineRule="exact"/>
              <w:jc w:val="center"/>
              <w:rPr>
                <w:rFonts w:ascii="宋体" w:hAnsi="宋体"/>
                <w:bCs/>
                <w:sz w:val="21"/>
                <w:szCs w:val="21"/>
              </w:rPr>
            </w:pPr>
            <w:r>
              <w:rPr>
                <w:rFonts w:hint="eastAsia" w:ascii="宋体" w:hAnsi="宋体"/>
                <w:bCs/>
                <w:sz w:val="21"/>
                <w:szCs w:val="21"/>
              </w:rPr>
              <w:t>10</w:t>
            </w:r>
          </w:p>
        </w:tc>
        <w:tc>
          <w:tcPr>
            <w:tcW w:w="1560" w:type="dxa"/>
            <w:vAlign w:val="center"/>
          </w:tcPr>
          <w:p>
            <w:pPr>
              <w:autoSpaceDE w:val="0"/>
              <w:autoSpaceDN w:val="0"/>
              <w:spacing w:line="240" w:lineRule="auto"/>
              <w:jc w:val="center"/>
              <w:textAlignment w:val="auto"/>
              <w:rPr>
                <w:rFonts w:ascii="宋体" w:hAnsi="宋体"/>
                <w:kern w:val="2"/>
                <w:sz w:val="21"/>
                <w:szCs w:val="21"/>
                <w:lang w:val="zh-CN"/>
              </w:rPr>
            </w:pPr>
            <w:r>
              <w:rPr>
                <w:rFonts w:hint="eastAsia" w:ascii="宋体" w:hAnsi="宋体"/>
                <w:kern w:val="2"/>
                <w:sz w:val="21"/>
                <w:szCs w:val="21"/>
                <w:lang w:val="zh-CN"/>
              </w:rPr>
              <w:t>履约保证金</w:t>
            </w:r>
          </w:p>
        </w:tc>
        <w:tc>
          <w:tcPr>
            <w:tcW w:w="6945" w:type="dxa"/>
            <w:vAlign w:val="center"/>
          </w:tcPr>
          <w:p>
            <w:pPr>
              <w:autoSpaceDE w:val="0"/>
              <w:autoSpaceDN w:val="0"/>
              <w:spacing w:line="240" w:lineRule="auto"/>
              <w:textAlignment w:val="auto"/>
              <w:rPr>
                <w:rFonts w:ascii="宋体" w:hAnsi="宋体"/>
                <w:kern w:val="2"/>
                <w:sz w:val="21"/>
                <w:szCs w:val="21"/>
              </w:rPr>
            </w:pPr>
            <w:r>
              <w:rPr>
                <w:rFonts w:hint="eastAsia" w:ascii="宋体" w:hAnsi="宋体"/>
                <w:kern w:val="2"/>
                <w:sz w:val="21"/>
                <w:szCs w:val="21"/>
              </w:rPr>
              <w:t>不适用</w:t>
            </w:r>
          </w:p>
        </w:tc>
      </w:tr>
    </w:tbl>
    <w:p>
      <w:pPr>
        <w:autoSpaceDE w:val="0"/>
        <w:autoSpaceDN w:val="0"/>
        <w:rPr>
          <w:rFonts w:ascii="宋体" w:hAnsi="宋体"/>
          <w:b/>
          <w:sz w:val="21"/>
          <w:szCs w:val="21"/>
          <w:lang w:val="zh-CN"/>
        </w:rPr>
      </w:pPr>
      <w:r>
        <w:rPr>
          <w:rFonts w:hint="eastAsia" w:ascii="宋体" w:hAnsi="宋体"/>
          <w:b/>
          <w:sz w:val="21"/>
          <w:szCs w:val="21"/>
          <w:lang w:val="zh-CN"/>
        </w:rPr>
        <w:t>说明：本表是对第六章“合同书”的具体补充和修改，如有矛盾，应以本表为准。</w:t>
      </w:r>
    </w:p>
    <w:p>
      <w:pPr>
        <w:pStyle w:val="3"/>
        <w:rPr>
          <w:sz w:val="21"/>
          <w:szCs w:val="21"/>
        </w:rPr>
      </w:pPr>
      <w:r>
        <w:rPr>
          <w:rFonts w:hint="eastAsia"/>
        </w:rPr>
        <w:br w:type="page"/>
      </w:r>
      <w:bookmarkStart w:id="49" w:name="_Toc21296"/>
      <w:r>
        <w:rPr>
          <w:rFonts w:hint="eastAsia"/>
        </w:rPr>
        <w:t>第三章  供应商须知</w:t>
      </w:r>
      <w:bookmarkEnd w:id="49"/>
    </w:p>
    <w:p>
      <w:pPr>
        <w:pStyle w:val="6"/>
      </w:pPr>
      <w:r>
        <w:rPr>
          <w:rFonts w:hint="eastAsia"/>
        </w:rPr>
        <w:t xml:space="preserve">一、总则 </w:t>
      </w:r>
    </w:p>
    <w:p>
      <w:pPr>
        <w:pStyle w:val="146"/>
        <w:numPr>
          <w:ilvl w:val="0"/>
          <w:numId w:val="9"/>
        </w:numPr>
        <w:tabs>
          <w:tab w:val="left" w:pos="0"/>
          <w:tab w:val="clear" w:pos="2553"/>
        </w:tabs>
        <w:ind w:left="0" w:firstLine="0"/>
        <w:textAlignment w:val="auto"/>
      </w:pPr>
      <w:r>
        <w:rPr>
          <w:rFonts w:hint="eastAsia"/>
        </w:rPr>
        <w:t>本磋商文件适用于本文件</w:t>
      </w:r>
      <w:r>
        <w:rPr>
          <w:rFonts w:hint="eastAsia"/>
          <w:u w:val="single"/>
        </w:rPr>
        <w:t>第五章</w:t>
      </w:r>
      <w:r>
        <w:rPr>
          <w:rFonts w:hint="eastAsia"/>
        </w:rPr>
        <w:t>中所述相关磋商货物（或服务）的响应。</w:t>
      </w:r>
    </w:p>
    <w:p>
      <w:pPr>
        <w:pStyle w:val="146"/>
        <w:tabs>
          <w:tab w:val="left" w:pos="0"/>
          <w:tab w:val="clear" w:pos="2553"/>
        </w:tabs>
        <w:textAlignment w:val="auto"/>
      </w:pPr>
    </w:p>
    <w:p>
      <w:pPr>
        <w:pStyle w:val="146"/>
        <w:numPr>
          <w:ilvl w:val="0"/>
          <w:numId w:val="9"/>
        </w:numPr>
        <w:tabs>
          <w:tab w:val="left" w:pos="0"/>
          <w:tab w:val="clear" w:pos="2553"/>
        </w:tabs>
        <w:ind w:left="0" w:firstLine="0"/>
        <w:textAlignment w:val="auto"/>
      </w:pPr>
      <w:r>
        <w:rPr>
          <w:rFonts w:hint="eastAsia"/>
        </w:rPr>
        <w:t>定义：</w:t>
      </w:r>
    </w:p>
    <w:p>
      <w:pPr>
        <w:pStyle w:val="146"/>
        <w:numPr>
          <w:ilvl w:val="1"/>
          <w:numId w:val="9"/>
        </w:numPr>
        <w:tabs>
          <w:tab w:val="left" w:pos="709"/>
        </w:tabs>
        <w:ind w:left="709"/>
        <w:textAlignment w:val="auto"/>
      </w:pPr>
      <w:r>
        <w:rPr>
          <w:rFonts w:hint="eastAsia"/>
        </w:rPr>
        <w:t>“采购人”名称详见供应商须知前附表。</w:t>
      </w:r>
    </w:p>
    <w:p>
      <w:pPr>
        <w:pStyle w:val="146"/>
        <w:numPr>
          <w:ilvl w:val="1"/>
          <w:numId w:val="9"/>
        </w:numPr>
        <w:tabs>
          <w:tab w:val="left" w:pos="709"/>
        </w:tabs>
        <w:snapToGrid w:val="0"/>
        <w:ind w:left="709"/>
        <w:textAlignment w:val="auto"/>
        <w:rPr>
          <w:rStyle w:val="62"/>
        </w:rPr>
      </w:pPr>
      <w:r>
        <w:rPr>
          <w:rStyle w:val="62"/>
          <w:rFonts w:hint="eastAsia"/>
        </w:rPr>
        <w:t>“</w:t>
      </w:r>
      <w:r>
        <w:rPr>
          <w:rStyle w:val="62"/>
        </w:rPr>
        <w:t>服务</w:t>
      </w:r>
      <w:r>
        <w:rPr>
          <w:rStyle w:val="62"/>
          <w:rFonts w:hint="eastAsia"/>
        </w:rPr>
        <w:t>”</w:t>
      </w:r>
      <w:r>
        <w:rPr>
          <w:rStyle w:val="62"/>
        </w:rPr>
        <w:t>指</w:t>
      </w:r>
      <w:r>
        <w:rPr>
          <w:rStyle w:val="62"/>
          <w:rFonts w:hint="eastAsia"/>
        </w:rPr>
        <w:t>本磋商文件</w:t>
      </w:r>
      <w:r>
        <w:rPr>
          <w:rStyle w:val="62"/>
          <w:rFonts w:hint="eastAsia"/>
          <w:u w:val="single"/>
        </w:rPr>
        <w:t>第五章</w:t>
      </w:r>
      <w:r>
        <w:rPr>
          <w:rStyle w:val="62"/>
          <w:rFonts w:hint="eastAsia"/>
        </w:rPr>
        <w:t>所述供应商应该履行的</w:t>
      </w:r>
      <w:r>
        <w:rPr>
          <w:rStyle w:val="62"/>
        </w:rPr>
        <w:t>承诺</w:t>
      </w:r>
      <w:r>
        <w:rPr>
          <w:rStyle w:val="62"/>
          <w:rFonts w:hint="eastAsia"/>
        </w:rPr>
        <w:t>和</w:t>
      </w:r>
      <w:r>
        <w:rPr>
          <w:rStyle w:val="62"/>
        </w:rPr>
        <w:t>义务。</w:t>
      </w:r>
    </w:p>
    <w:p>
      <w:pPr>
        <w:pStyle w:val="146"/>
        <w:numPr>
          <w:ilvl w:val="1"/>
          <w:numId w:val="9"/>
        </w:numPr>
        <w:tabs>
          <w:tab w:val="left" w:pos="709"/>
        </w:tabs>
        <w:snapToGrid w:val="0"/>
        <w:ind w:left="709"/>
        <w:textAlignment w:val="auto"/>
        <w:rPr>
          <w:rStyle w:val="62"/>
        </w:rPr>
      </w:pPr>
      <w:r>
        <w:rPr>
          <w:rStyle w:val="62"/>
          <w:rFonts w:hint="eastAsia"/>
        </w:rPr>
        <w:t>“货物”系指卖方根据合同规定，须向买方提供的全新合格产品（包括所含的一切材料、设备、机械、仪表、备品备件、专用工具、相关技术文件（含软件）或其他材料）及相关服务。</w:t>
      </w:r>
    </w:p>
    <w:p>
      <w:pPr>
        <w:pStyle w:val="146"/>
        <w:numPr>
          <w:ilvl w:val="1"/>
          <w:numId w:val="9"/>
        </w:numPr>
        <w:tabs>
          <w:tab w:val="left" w:pos="709"/>
        </w:tabs>
        <w:ind w:left="709"/>
        <w:textAlignment w:val="auto"/>
      </w:pPr>
      <w:r>
        <w:rPr>
          <w:rFonts w:hint="eastAsia"/>
        </w:rPr>
        <w:t>“潜在供应商”指符合本磋商文件各项规定的合格供应商。</w:t>
      </w:r>
    </w:p>
    <w:p>
      <w:pPr>
        <w:pStyle w:val="146"/>
        <w:numPr>
          <w:ilvl w:val="1"/>
          <w:numId w:val="9"/>
        </w:numPr>
        <w:tabs>
          <w:tab w:val="left" w:pos="709"/>
        </w:tabs>
        <w:snapToGrid w:val="0"/>
        <w:ind w:left="709"/>
        <w:textAlignment w:val="auto"/>
      </w:pPr>
      <w:r>
        <w:rPr>
          <w:rFonts w:hint="eastAsia"/>
        </w:rPr>
        <w:t>“供应商”指符合本磋商文件规定并参加响应的供应商。</w:t>
      </w:r>
    </w:p>
    <w:p>
      <w:pPr>
        <w:pStyle w:val="146"/>
        <w:snapToGrid w:val="0"/>
        <w:textAlignment w:val="auto"/>
      </w:pPr>
    </w:p>
    <w:p>
      <w:pPr>
        <w:pStyle w:val="146"/>
        <w:numPr>
          <w:ilvl w:val="0"/>
          <w:numId w:val="9"/>
        </w:numPr>
        <w:tabs>
          <w:tab w:val="left" w:pos="0"/>
          <w:tab w:val="clear" w:pos="2553"/>
        </w:tabs>
        <w:ind w:left="0" w:firstLine="0"/>
        <w:textAlignment w:val="auto"/>
      </w:pPr>
      <w:r>
        <w:rPr>
          <w:rFonts w:hint="eastAsia"/>
        </w:rPr>
        <w:t>合格供应商的条件</w:t>
      </w:r>
    </w:p>
    <w:p>
      <w:pPr>
        <w:pStyle w:val="146"/>
        <w:numPr>
          <w:ilvl w:val="1"/>
          <w:numId w:val="9"/>
        </w:numPr>
        <w:tabs>
          <w:tab w:val="left" w:pos="709"/>
        </w:tabs>
        <w:snapToGrid w:val="0"/>
        <w:ind w:left="709"/>
        <w:textAlignment w:val="auto"/>
      </w:pPr>
      <w:r>
        <w:rPr>
          <w:rFonts w:hint="eastAsia"/>
        </w:rPr>
        <w:t>具有为本项目的技术服务能力，符合、承认并承诺履行本磋商文件各项规定的国内供应商均可参加响应。</w:t>
      </w:r>
    </w:p>
    <w:p>
      <w:pPr>
        <w:pStyle w:val="146"/>
        <w:numPr>
          <w:ilvl w:val="1"/>
          <w:numId w:val="9"/>
        </w:numPr>
        <w:tabs>
          <w:tab w:val="left" w:pos="709"/>
        </w:tabs>
        <w:snapToGrid w:val="0"/>
        <w:ind w:left="709"/>
        <w:textAlignment w:val="auto"/>
        <w:rPr>
          <w:spacing w:val="10"/>
        </w:rPr>
      </w:pPr>
      <w:r>
        <w:rPr>
          <w:rFonts w:hint="eastAsia"/>
        </w:rPr>
        <w:t>供应商必须是已在中国境内依法登记注册的供应商，持市场监督管理局（原工商行政管理局）所核发的营业执照；供应商为自然人的，应当持本人身份证。</w:t>
      </w:r>
    </w:p>
    <w:p>
      <w:pPr>
        <w:pStyle w:val="146"/>
        <w:numPr>
          <w:ilvl w:val="1"/>
          <w:numId w:val="9"/>
        </w:numPr>
        <w:tabs>
          <w:tab w:val="left" w:pos="709"/>
        </w:tabs>
        <w:snapToGrid w:val="0"/>
        <w:ind w:left="709"/>
        <w:textAlignment w:val="auto"/>
        <w:rPr>
          <w:spacing w:val="10"/>
        </w:rPr>
      </w:pPr>
      <w:r>
        <w:rPr>
          <w:rFonts w:hint="eastAsia"/>
          <w:spacing w:val="10"/>
        </w:rPr>
        <w:t>供应商应遵守有关的国家法律、法规和条例，具备《中华人民共和国政府采购法》和本磋商文件中规定的其他条件。</w:t>
      </w:r>
    </w:p>
    <w:p>
      <w:pPr>
        <w:pStyle w:val="146"/>
        <w:numPr>
          <w:ilvl w:val="1"/>
          <w:numId w:val="9"/>
        </w:numPr>
        <w:tabs>
          <w:tab w:val="left" w:pos="709"/>
        </w:tabs>
        <w:snapToGrid w:val="0"/>
        <w:ind w:left="709"/>
        <w:textAlignment w:val="auto"/>
      </w:pPr>
      <w:r>
        <w:rPr>
          <w:rFonts w:hint="eastAsia"/>
        </w:rPr>
        <w:t>本次磋商是否允许由两个以上供应商组成一个联合体以一个供应商身份共同响应，详见供应商须知前附表。</w:t>
      </w:r>
    </w:p>
    <w:p>
      <w:pPr>
        <w:pStyle w:val="146"/>
        <w:textAlignment w:val="auto"/>
      </w:pPr>
    </w:p>
    <w:p>
      <w:pPr>
        <w:pStyle w:val="146"/>
        <w:numPr>
          <w:ilvl w:val="0"/>
          <w:numId w:val="9"/>
        </w:numPr>
        <w:tabs>
          <w:tab w:val="clear" w:pos="2553"/>
        </w:tabs>
        <w:ind w:left="0" w:firstLine="0"/>
        <w:textAlignment w:val="auto"/>
      </w:pPr>
      <w:r>
        <w:rPr>
          <w:rFonts w:hint="eastAsia"/>
        </w:rPr>
        <w:t>响应费用</w:t>
      </w:r>
    </w:p>
    <w:p>
      <w:pPr>
        <w:pStyle w:val="146"/>
        <w:numPr>
          <w:ilvl w:val="1"/>
          <w:numId w:val="9"/>
        </w:numPr>
        <w:tabs>
          <w:tab w:val="left" w:pos="709"/>
        </w:tabs>
        <w:ind w:left="709"/>
        <w:textAlignment w:val="auto"/>
      </w:pPr>
      <w:r>
        <w:rPr>
          <w:rFonts w:hint="eastAsia"/>
        </w:rPr>
        <w:t>供应商应承担所有与准备和参加响应有关的费用，采购人和采购代理机构在任何情况下均无义务和责任承担这些费用。</w:t>
      </w:r>
    </w:p>
    <w:p>
      <w:pPr>
        <w:pStyle w:val="146"/>
        <w:tabs>
          <w:tab w:val="clear" w:pos="2553"/>
        </w:tabs>
        <w:textAlignment w:val="auto"/>
      </w:pPr>
    </w:p>
    <w:p>
      <w:pPr>
        <w:pStyle w:val="146"/>
        <w:numPr>
          <w:ilvl w:val="0"/>
          <w:numId w:val="9"/>
        </w:numPr>
        <w:tabs>
          <w:tab w:val="clear" w:pos="2553"/>
        </w:tabs>
        <w:ind w:left="0" w:firstLine="0"/>
        <w:textAlignment w:val="auto"/>
      </w:pPr>
      <w:r>
        <w:rPr>
          <w:rFonts w:hint="eastAsia"/>
        </w:rPr>
        <w:t>勘察现场</w:t>
      </w:r>
    </w:p>
    <w:p>
      <w:pPr>
        <w:pStyle w:val="146"/>
        <w:numPr>
          <w:ilvl w:val="1"/>
          <w:numId w:val="9"/>
        </w:numPr>
        <w:tabs>
          <w:tab w:val="left" w:pos="709"/>
        </w:tabs>
        <w:ind w:left="709"/>
        <w:textAlignment w:val="auto"/>
      </w:pPr>
      <w:r>
        <w:rPr>
          <w:rFonts w:hint="eastAsia"/>
        </w:rPr>
        <w:t>供应商应对现场及周围环境自行进行勘察，以便供应商获取需自己负责的有关编制响应文件和签署合同所需的所有资料，勘察现场所发生的费用由供应商自行承担。</w:t>
      </w:r>
    </w:p>
    <w:p>
      <w:pPr>
        <w:pStyle w:val="146"/>
        <w:numPr>
          <w:ilvl w:val="1"/>
          <w:numId w:val="9"/>
        </w:numPr>
        <w:tabs>
          <w:tab w:val="left" w:pos="709"/>
        </w:tabs>
        <w:ind w:left="709"/>
        <w:textAlignment w:val="auto"/>
      </w:pPr>
      <w:r>
        <w:rPr>
          <w:rFonts w:hint="eastAsia"/>
        </w:rPr>
        <w:t>采购人向供应商提供的有关现场的资料和数据仅是</w:t>
      </w:r>
      <w:bookmarkStart w:id="50" w:name="OLE_LINK23"/>
      <w:r>
        <w:rPr>
          <w:rFonts w:hint="eastAsia"/>
        </w:rPr>
        <w:t>采购人</w:t>
      </w:r>
      <w:bookmarkEnd w:id="50"/>
      <w:r>
        <w:rPr>
          <w:rFonts w:hint="eastAsia"/>
        </w:rPr>
        <w:t>现有的能使供应商利用的资料。采购人对供应商由此而作出的推断、理解和结论概不负责。</w:t>
      </w:r>
    </w:p>
    <w:p>
      <w:pPr>
        <w:pStyle w:val="146"/>
        <w:numPr>
          <w:ilvl w:val="1"/>
          <w:numId w:val="9"/>
        </w:numPr>
        <w:tabs>
          <w:tab w:val="left" w:pos="709"/>
        </w:tabs>
        <w:ind w:left="709"/>
        <w:textAlignment w:val="auto"/>
      </w:pPr>
      <w:r>
        <w:rPr>
          <w:rFonts w:hint="eastAsia"/>
        </w:rPr>
        <w:t>供应商及其人员经过采购人的允许，可为勘察目的进入采购人的现场，供应商及其人员因勘察现场而造成的死亡、人身伤害、财产损失、损害以及任何其它损失、损害所引起的费用，由供应商自行承担责任。</w:t>
      </w:r>
    </w:p>
    <w:p>
      <w:pPr>
        <w:pStyle w:val="146"/>
        <w:numPr>
          <w:ilvl w:val="1"/>
          <w:numId w:val="9"/>
        </w:numPr>
        <w:tabs>
          <w:tab w:val="left" w:pos="709"/>
        </w:tabs>
        <w:ind w:left="709"/>
        <w:textAlignment w:val="auto"/>
      </w:pPr>
      <w:r>
        <w:rPr>
          <w:rFonts w:hint="eastAsia"/>
        </w:rPr>
        <w:t>如果供应商需要再次进行现场勘察，采购人将予以支持，费用自理。</w:t>
      </w:r>
    </w:p>
    <w:p>
      <w:pPr>
        <w:pStyle w:val="146"/>
        <w:textAlignment w:val="auto"/>
      </w:pPr>
    </w:p>
    <w:p>
      <w:pPr>
        <w:pStyle w:val="146"/>
        <w:numPr>
          <w:ilvl w:val="0"/>
          <w:numId w:val="9"/>
        </w:numPr>
        <w:tabs>
          <w:tab w:val="left" w:pos="0"/>
          <w:tab w:val="clear" w:pos="2553"/>
        </w:tabs>
        <w:ind w:left="0" w:firstLine="0"/>
        <w:textAlignment w:val="auto"/>
      </w:pPr>
      <w:r>
        <w:rPr>
          <w:rFonts w:hint="eastAsia"/>
        </w:rPr>
        <w:t>通知</w:t>
      </w:r>
    </w:p>
    <w:p>
      <w:pPr>
        <w:pStyle w:val="146"/>
        <w:numPr>
          <w:ilvl w:val="1"/>
          <w:numId w:val="9"/>
        </w:numPr>
        <w:tabs>
          <w:tab w:val="left" w:pos="709"/>
        </w:tabs>
        <w:snapToGrid w:val="0"/>
        <w:ind w:left="709"/>
        <w:textAlignment w:val="auto"/>
      </w:pPr>
      <w:r>
        <w:rPr>
          <w:rFonts w:hint="eastAsia"/>
        </w:rPr>
        <w:t>对</w:t>
      </w:r>
      <w:r>
        <w:rPr>
          <w:rFonts w:hint="eastAsia"/>
          <w:spacing w:val="10"/>
        </w:rPr>
        <w:t>与本项目有关的通知，将以书面（包括书面材料、信函、传真等，下同）或在本次磋商采购公告刊登的媒体上发布公告的形式，向潜在供应商发出，传真和手机号码以潜在供应商的登记为准。收到通知的供应商应以书面方式立即予以回复确认，但供应商未回复或采购人或采购代理机构未收到回复时，并不应当被理解为采购人或采购代理机构知道、应当知道或不应当被理解为采购人或采购代理机构应当推定供应商是否收到通知。因登记有误、传真线路故障或其它任何意外情形，导致所发出的通知延迟送达或无法到达供应商，除非有适当的证据表明采购人或采购代理机构已经明知该项应当通知的事项并未实际有效到达且采购人或采购代理机构认为仍有条件和必要及时地再次补发通知而故意拖延或不予补发通知，采购人或采购代理机构不因此承担任何责任，有关的磋商采购活动可以继续有效地进行</w:t>
      </w:r>
      <w:r>
        <w:rPr>
          <w:rFonts w:hint="eastAsia"/>
        </w:rPr>
        <w:t>。</w:t>
      </w:r>
    </w:p>
    <w:p>
      <w:pPr>
        <w:pStyle w:val="146"/>
        <w:snapToGrid w:val="0"/>
        <w:textAlignment w:val="auto"/>
      </w:pPr>
    </w:p>
    <w:p>
      <w:pPr>
        <w:pStyle w:val="6"/>
      </w:pPr>
      <w:r>
        <w:rPr>
          <w:rFonts w:hint="eastAsia"/>
        </w:rPr>
        <w:t>二、磋商文件</w:t>
      </w:r>
    </w:p>
    <w:p>
      <w:pPr>
        <w:pStyle w:val="146"/>
        <w:numPr>
          <w:ilvl w:val="0"/>
          <w:numId w:val="9"/>
        </w:numPr>
        <w:tabs>
          <w:tab w:val="clear" w:pos="2553"/>
        </w:tabs>
        <w:ind w:left="0" w:firstLine="0"/>
        <w:textAlignment w:val="auto"/>
      </w:pPr>
      <w:r>
        <w:rPr>
          <w:rFonts w:hint="eastAsia"/>
        </w:rPr>
        <w:t>磋商文件</w:t>
      </w:r>
    </w:p>
    <w:p>
      <w:pPr>
        <w:pStyle w:val="146"/>
        <w:numPr>
          <w:ilvl w:val="1"/>
          <w:numId w:val="9"/>
        </w:numPr>
        <w:tabs>
          <w:tab w:val="left" w:pos="709"/>
        </w:tabs>
        <w:ind w:left="709"/>
        <w:textAlignment w:val="auto"/>
      </w:pPr>
      <w:r>
        <w:rPr>
          <w:rFonts w:hint="eastAsia"/>
        </w:rPr>
        <w:t>磋商文件由下列七章内容组成：</w:t>
      </w:r>
    </w:p>
    <w:p>
      <w:pPr>
        <w:spacing w:line="240" w:lineRule="auto"/>
        <w:ind w:firstLine="682" w:firstLineChars="325"/>
        <w:rPr>
          <w:rFonts w:ascii="宋体" w:hAnsi="宋体"/>
          <w:sz w:val="21"/>
          <w:szCs w:val="21"/>
        </w:rPr>
      </w:pPr>
      <w:r>
        <w:rPr>
          <w:rFonts w:hint="eastAsia" w:ascii="宋体" w:hAnsi="宋体"/>
          <w:sz w:val="21"/>
          <w:szCs w:val="21"/>
        </w:rPr>
        <w:t>第一章 响应邀请</w:t>
      </w:r>
    </w:p>
    <w:p>
      <w:pPr>
        <w:spacing w:line="240" w:lineRule="auto"/>
        <w:ind w:firstLine="682" w:firstLineChars="325"/>
        <w:rPr>
          <w:rFonts w:ascii="宋体" w:hAnsi="宋体"/>
          <w:sz w:val="21"/>
          <w:szCs w:val="21"/>
        </w:rPr>
      </w:pPr>
      <w:r>
        <w:rPr>
          <w:rFonts w:hint="eastAsia" w:ascii="宋体" w:hAnsi="宋体"/>
          <w:sz w:val="21"/>
          <w:szCs w:val="21"/>
        </w:rPr>
        <w:t>第二章 供应商须知前附表、合同通用条款前附表</w:t>
      </w:r>
    </w:p>
    <w:p>
      <w:pPr>
        <w:spacing w:line="240" w:lineRule="auto"/>
        <w:ind w:firstLine="682" w:firstLineChars="325"/>
        <w:rPr>
          <w:rFonts w:ascii="宋体" w:hAnsi="宋体"/>
          <w:sz w:val="21"/>
          <w:szCs w:val="21"/>
        </w:rPr>
      </w:pPr>
      <w:r>
        <w:rPr>
          <w:rFonts w:hint="eastAsia" w:ascii="宋体" w:hAnsi="宋体"/>
          <w:sz w:val="21"/>
          <w:szCs w:val="21"/>
        </w:rPr>
        <w:t>第三章 供应商须知</w:t>
      </w:r>
    </w:p>
    <w:p>
      <w:pPr>
        <w:spacing w:line="240" w:lineRule="auto"/>
        <w:ind w:firstLine="682" w:firstLineChars="325"/>
        <w:rPr>
          <w:rFonts w:ascii="宋体" w:hAnsi="宋体"/>
          <w:sz w:val="21"/>
          <w:szCs w:val="21"/>
        </w:rPr>
      </w:pPr>
      <w:r>
        <w:rPr>
          <w:rFonts w:hint="eastAsia" w:ascii="宋体" w:hAnsi="宋体"/>
          <w:sz w:val="21"/>
          <w:szCs w:val="21"/>
        </w:rPr>
        <w:t>第四章 磋商程序及评审办法</w:t>
      </w:r>
    </w:p>
    <w:p>
      <w:pPr>
        <w:spacing w:line="240" w:lineRule="auto"/>
        <w:ind w:firstLine="682" w:firstLineChars="325"/>
        <w:rPr>
          <w:rFonts w:ascii="宋体" w:hAnsi="宋体"/>
          <w:sz w:val="21"/>
          <w:szCs w:val="21"/>
        </w:rPr>
      </w:pPr>
      <w:r>
        <w:rPr>
          <w:rFonts w:hint="eastAsia" w:ascii="宋体" w:hAnsi="宋体"/>
          <w:sz w:val="21"/>
          <w:szCs w:val="21"/>
        </w:rPr>
        <w:t>第五章 磋商内容及要求</w:t>
      </w:r>
    </w:p>
    <w:p>
      <w:pPr>
        <w:spacing w:line="240" w:lineRule="auto"/>
        <w:ind w:firstLine="682" w:firstLineChars="325"/>
        <w:rPr>
          <w:rFonts w:ascii="宋体" w:hAnsi="宋体"/>
          <w:sz w:val="21"/>
          <w:szCs w:val="21"/>
        </w:rPr>
      </w:pPr>
      <w:r>
        <w:rPr>
          <w:rFonts w:hint="eastAsia" w:ascii="宋体" w:hAnsi="宋体"/>
          <w:sz w:val="21"/>
          <w:szCs w:val="21"/>
        </w:rPr>
        <w:t>第六章 合同书（参考）</w:t>
      </w:r>
    </w:p>
    <w:p>
      <w:pPr>
        <w:spacing w:line="240" w:lineRule="auto"/>
        <w:ind w:firstLine="682" w:firstLineChars="325"/>
        <w:rPr>
          <w:rFonts w:ascii="宋体" w:hAnsi="宋体"/>
          <w:sz w:val="21"/>
          <w:szCs w:val="21"/>
        </w:rPr>
      </w:pPr>
      <w:r>
        <w:rPr>
          <w:rFonts w:hint="eastAsia" w:ascii="宋体" w:hAnsi="宋体"/>
          <w:sz w:val="21"/>
          <w:szCs w:val="21"/>
        </w:rPr>
        <w:t>第七章 响应文件格式</w:t>
      </w:r>
    </w:p>
    <w:p>
      <w:pPr>
        <w:spacing w:line="240" w:lineRule="auto"/>
        <w:rPr>
          <w:rFonts w:ascii="宋体" w:hAnsi="宋体"/>
          <w:sz w:val="21"/>
          <w:szCs w:val="21"/>
        </w:rPr>
      </w:pPr>
    </w:p>
    <w:p>
      <w:pPr>
        <w:pStyle w:val="146"/>
        <w:numPr>
          <w:ilvl w:val="0"/>
          <w:numId w:val="9"/>
        </w:numPr>
        <w:tabs>
          <w:tab w:val="left" w:pos="0"/>
          <w:tab w:val="clear" w:pos="2553"/>
        </w:tabs>
        <w:snapToGrid w:val="0"/>
        <w:ind w:left="0" w:firstLine="0"/>
        <w:textAlignment w:val="auto"/>
      </w:pPr>
      <w:r>
        <w:rPr>
          <w:rFonts w:hint="eastAsia"/>
        </w:rPr>
        <w:t>响应前磋商文件的澄清和修改</w:t>
      </w:r>
    </w:p>
    <w:p>
      <w:pPr>
        <w:pStyle w:val="146"/>
        <w:numPr>
          <w:ilvl w:val="1"/>
          <w:numId w:val="9"/>
        </w:numPr>
        <w:tabs>
          <w:tab w:val="left" w:pos="709"/>
        </w:tabs>
        <w:snapToGrid w:val="0"/>
        <w:ind w:left="709"/>
        <w:textAlignment w:val="auto"/>
        <w:rPr>
          <w:spacing w:val="10"/>
        </w:rPr>
      </w:pPr>
      <w:r>
        <w:rPr>
          <w:rFonts w:hint="eastAsia"/>
          <w:spacing w:val="10"/>
        </w:rPr>
        <w:t>供应商的澄清、修改等要求的提交：任何购买磋商文件的潜在供应商，均可要求对磋商文件进行澄清、修改。</w:t>
      </w:r>
    </w:p>
    <w:p>
      <w:pPr>
        <w:pStyle w:val="146"/>
        <w:numPr>
          <w:ilvl w:val="1"/>
          <w:numId w:val="9"/>
        </w:numPr>
        <w:tabs>
          <w:tab w:val="left" w:pos="709"/>
        </w:tabs>
        <w:snapToGrid w:val="0"/>
        <w:ind w:left="709"/>
        <w:textAlignment w:val="auto"/>
        <w:rPr>
          <w:spacing w:val="10"/>
        </w:rPr>
      </w:pPr>
      <w:r>
        <w:rPr>
          <w:rFonts w:hint="eastAsia"/>
          <w:spacing w:val="10"/>
        </w:rPr>
        <w:t>磋商文件在公告之前已经在相关媒体/网站发布公告公开征求过意见的或进行过论证的，采购人或采购代理机构可以不再接受已经征求过意见或论证的商务或技术部分供应商提出的相关澄清、修改要求。</w:t>
      </w:r>
    </w:p>
    <w:p>
      <w:pPr>
        <w:pStyle w:val="146"/>
        <w:numPr>
          <w:ilvl w:val="1"/>
          <w:numId w:val="9"/>
        </w:numPr>
        <w:tabs>
          <w:tab w:val="left" w:pos="709"/>
        </w:tabs>
        <w:snapToGrid w:val="0"/>
        <w:ind w:left="709"/>
        <w:textAlignment w:val="auto"/>
        <w:rPr>
          <w:spacing w:val="10"/>
        </w:rPr>
      </w:pPr>
      <w:r>
        <w:rPr>
          <w:rFonts w:hint="eastAsia"/>
          <w:spacing w:val="10"/>
        </w:rPr>
        <w:t>采购人或采购代理机构对澄清、修改要求的处理：采购人或采购代理机构对其认为不必要进行澄清、修改、也不需要进行其它答复的，可以不予答复。若采购人或采购代理机构决定给予澄清、修改及/或进行其它答复的，应当用补充文件的方式进行，且应当以当面交接、邮寄、传真、电子邮件、网站披露等其中至少一种方式，统一向全体，或分别或向每一位(但不可以只向其中一部分)潜在供应商发出澄清、修改及/或进行其它答复的补充文件，补充文件中可以包括原提出的问题，但不包括问题的来源。</w:t>
      </w:r>
    </w:p>
    <w:p>
      <w:pPr>
        <w:pStyle w:val="146"/>
        <w:numPr>
          <w:ilvl w:val="1"/>
          <w:numId w:val="9"/>
        </w:numPr>
        <w:tabs>
          <w:tab w:val="left" w:pos="709"/>
        </w:tabs>
        <w:snapToGrid w:val="0"/>
        <w:ind w:left="709"/>
        <w:textAlignment w:val="auto"/>
        <w:rPr>
          <w:spacing w:val="10"/>
        </w:rPr>
      </w:pPr>
      <w:r>
        <w:rPr>
          <w:rFonts w:hint="eastAsia"/>
          <w:spacing w:val="10"/>
        </w:rPr>
        <w:t>采购人或采购代理机构主动进行的澄清、修改：采购人或采购代理机构无论出于何种原因，均可主动对磋商文件中的相关事项进行澄清、修改及/或补充。</w:t>
      </w:r>
    </w:p>
    <w:p>
      <w:pPr>
        <w:pStyle w:val="146"/>
        <w:numPr>
          <w:ilvl w:val="1"/>
          <w:numId w:val="9"/>
        </w:numPr>
        <w:tabs>
          <w:tab w:val="left" w:pos="709"/>
        </w:tabs>
        <w:snapToGrid w:val="0"/>
        <w:ind w:left="709"/>
        <w:textAlignment w:val="auto"/>
        <w:rPr>
          <w:spacing w:val="10"/>
        </w:rPr>
      </w:pPr>
      <w:r>
        <w:rPr>
          <w:rFonts w:hint="eastAsia"/>
          <w:spacing w:val="10"/>
        </w:rPr>
        <w:t>澄清、修改及/或补充文件的发出时间、响应截止日的变更：在磋商采购的情形下，自澄清、修改及/或进行其它答复的补充文件发出之日起至所规定的供应商提交响应文件截止之日止，不得少于五日，需要为此调整响应文件提交截止日的，应当重新确定，并就变更后的响应截止日重新发出通知。</w:t>
      </w:r>
    </w:p>
    <w:p>
      <w:pPr>
        <w:pStyle w:val="146"/>
        <w:numPr>
          <w:ilvl w:val="1"/>
          <w:numId w:val="9"/>
        </w:numPr>
        <w:tabs>
          <w:tab w:val="left" w:pos="709"/>
        </w:tabs>
        <w:snapToGrid w:val="0"/>
        <w:ind w:left="709"/>
        <w:textAlignment w:val="auto"/>
      </w:pPr>
      <w:r>
        <w:rPr>
          <w:rFonts w:hint="eastAsia"/>
          <w:spacing w:val="10"/>
        </w:rPr>
        <w:t>采购人或采购代理机构澄清、修改、其它答复的效力：无论是否根据潜在供应商的澄清、修改及/或进行其它答复的要求，采购人或采购代理机构一旦对磋商文件作出了澄清、修改及/或进行其它答复，即刻发生效力，采购人或采购代理机构有关的澄清、修改及/或补充文件，应当作为磋商文件的组成部分，对所有供应商均具有约束力，而无论是否已经实际收到该澄清、修改及/或补充文件。同时，采购人或采购代理机构和供应商的权利及义务将受到新的截止期的约束</w:t>
      </w:r>
      <w:r>
        <w:rPr>
          <w:rFonts w:hint="eastAsia"/>
        </w:rPr>
        <w:t>。</w:t>
      </w:r>
    </w:p>
    <w:p>
      <w:pPr>
        <w:pStyle w:val="146"/>
        <w:snapToGrid w:val="0"/>
        <w:textAlignment w:val="auto"/>
      </w:pPr>
    </w:p>
    <w:p>
      <w:pPr>
        <w:pStyle w:val="6"/>
      </w:pPr>
      <w:r>
        <w:rPr>
          <w:rFonts w:hint="eastAsia"/>
        </w:rPr>
        <w:t>三、响应文件</w:t>
      </w:r>
    </w:p>
    <w:p>
      <w:pPr>
        <w:pStyle w:val="146"/>
        <w:numPr>
          <w:ilvl w:val="0"/>
          <w:numId w:val="9"/>
        </w:numPr>
        <w:tabs>
          <w:tab w:val="left" w:pos="0"/>
          <w:tab w:val="clear" w:pos="2553"/>
        </w:tabs>
        <w:ind w:left="0" w:firstLine="0"/>
        <w:textAlignment w:val="auto"/>
      </w:pPr>
      <w:r>
        <w:rPr>
          <w:rFonts w:hint="eastAsia"/>
        </w:rPr>
        <w:t>响应文件的语言和计量单位</w:t>
      </w:r>
    </w:p>
    <w:p>
      <w:pPr>
        <w:pStyle w:val="146"/>
        <w:numPr>
          <w:ilvl w:val="1"/>
          <w:numId w:val="9"/>
        </w:numPr>
        <w:tabs>
          <w:tab w:val="left" w:pos="709"/>
        </w:tabs>
        <w:snapToGrid w:val="0"/>
        <w:ind w:left="709"/>
        <w:textAlignment w:val="auto"/>
        <w:rPr>
          <w:spacing w:val="10"/>
        </w:rPr>
      </w:pPr>
      <w:r>
        <w:rPr>
          <w:rFonts w:hint="eastAsia"/>
          <w:spacing w:val="10"/>
        </w:rPr>
        <w:t>供应商提交的响应文件以及供应商与采购人或采购代理机构就有关响应的所有</w:t>
      </w:r>
      <w:r>
        <w:rPr>
          <w:rFonts w:hint="eastAsia"/>
        </w:rPr>
        <w:t>来往书面文件均使用中文简体字</w:t>
      </w:r>
      <w:r>
        <w:rPr>
          <w:rFonts w:hint="eastAsia"/>
          <w:spacing w:val="10"/>
        </w:rPr>
        <w:t>。（供应商提交的证书类和相关授权等外文文件，以及外国公司的名称与签章等可以是外文。其中，相关授权文件是外文的，供应商须在响应文件提供与原版文件相一致的中文翻译文件及其他相关证明文件。）</w:t>
      </w:r>
    </w:p>
    <w:p>
      <w:pPr>
        <w:pStyle w:val="146"/>
        <w:numPr>
          <w:ilvl w:val="1"/>
          <w:numId w:val="9"/>
        </w:numPr>
        <w:tabs>
          <w:tab w:val="left" w:pos="709"/>
        </w:tabs>
        <w:snapToGrid w:val="0"/>
        <w:ind w:left="709"/>
        <w:textAlignment w:val="auto"/>
        <w:rPr>
          <w:spacing w:val="10"/>
        </w:rPr>
      </w:pPr>
      <w:r>
        <w:rPr>
          <w:rFonts w:hint="eastAsia"/>
          <w:spacing w:val="10"/>
        </w:rPr>
        <w:t>响应文件所使用的计量单位，应使用国家法定计量单位。</w:t>
      </w:r>
    </w:p>
    <w:p>
      <w:pPr>
        <w:pStyle w:val="146"/>
        <w:numPr>
          <w:ilvl w:val="1"/>
          <w:numId w:val="9"/>
        </w:numPr>
        <w:tabs>
          <w:tab w:val="left" w:pos="709"/>
        </w:tabs>
        <w:snapToGrid w:val="0"/>
        <w:ind w:left="709"/>
        <w:textAlignment w:val="auto"/>
      </w:pPr>
      <w:r>
        <w:rPr>
          <w:rFonts w:hint="eastAsia"/>
          <w:spacing w:val="10"/>
        </w:rPr>
        <w:t>对违反上述规定情形的，磋商小组有权要求供应商限期提供相应文件或决定对其</w:t>
      </w:r>
      <w:r>
        <w:rPr>
          <w:rFonts w:hint="eastAsia"/>
          <w:b/>
          <w:spacing w:val="10"/>
        </w:rPr>
        <w:t>响应予以拒绝</w:t>
      </w:r>
      <w:r>
        <w:rPr>
          <w:rFonts w:hint="eastAsia"/>
          <w:spacing w:val="10"/>
        </w:rPr>
        <w:t>。</w:t>
      </w:r>
    </w:p>
    <w:p>
      <w:pPr>
        <w:spacing w:line="240" w:lineRule="auto"/>
        <w:jc w:val="both"/>
        <w:rPr>
          <w:rFonts w:ascii="宋体" w:hAnsi="宋体"/>
          <w:sz w:val="21"/>
          <w:szCs w:val="21"/>
        </w:rPr>
      </w:pPr>
    </w:p>
    <w:p>
      <w:pPr>
        <w:pStyle w:val="146"/>
        <w:numPr>
          <w:ilvl w:val="0"/>
          <w:numId w:val="9"/>
        </w:numPr>
        <w:tabs>
          <w:tab w:val="left" w:pos="0"/>
          <w:tab w:val="clear" w:pos="2553"/>
        </w:tabs>
        <w:snapToGrid w:val="0"/>
        <w:ind w:left="0" w:firstLine="0"/>
        <w:textAlignment w:val="auto"/>
      </w:pPr>
      <w:r>
        <w:rPr>
          <w:rFonts w:hint="eastAsia"/>
        </w:rPr>
        <w:t>响应文件的组成及相关要求</w:t>
      </w:r>
    </w:p>
    <w:p>
      <w:pPr>
        <w:pStyle w:val="146"/>
        <w:numPr>
          <w:ilvl w:val="1"/>
          <w:numId w:val="9"/>
        </w:numPr>
        <w:tabs>
          <w:tab w:val="left" w:pos="709"/>
        </w:tabs>
        <w:snapToGrid w:val="0"/>
        <w:ind w:left="709"/>
        <w:textAlignment w:val="auto"/>
        <w:rPr>
          <w:spacing w:val="10"/>
        </w:rPr>
      </w:pPr>
      <w:r>
        <w:rPr>
          <w:rFonts w:hint="eastAsia"/>
          <w:spacing w:val="10"/>
        </w:rPr>
        <w:t>响应文件分为商务部分和技术部分。</w:t>
      </w:r>
    </w:p>
    <w:p>
      <w:pPr>
        <w:snapToGrid w:val="0"/>
        <w:spacing w:line="240" w:lineRule="auto"/>
        <w:ind w:left="720" w:leftChars="300"/>
        <w:jc w:val="both"/>
        <w:rPr>
          <w:rFonts w:ascii="宋体" w:hAnsi="宋体"/>
          <w:spacing w:val="10"/>
          <w:sz w:val="21"/>
          <w:szCs w:val="21"/>
        </w:rPr>
      </w:pPr>
      <w:r>
        <w:rPr>
          <w:rFonts w:hint="eastAsia" w:ascii="宋体" w:hAnsi="宋体"/>
          <w:spacing w:val="10"/>
          <w:sz w:val="21"/>
          <w:szCs w:val="21"/>
        </w:rPr>
        <w:t>商务部分指供应商提交的证明其有资格参加响应和成交后有能力履行合同的文件。技术部分指供应商提交的能够证明供应商提供的货物或（服务）符合磋商文件规定的文件。本次磋商，供应商应按供应商须知前附表</w:t>
      </w:r>
      <w:r>
        <w:rPr>
          <w:rFonts w:hint="eastAsia" w:ascii="宋体" w:hAnsi="宋体"/>
          <w:spacing w:val="10"/>
          <w:sz w:val="21"/>
          <w:szCs w:val="21"/>
          <w:u w:val="single"/>
        </w:rPr>
        <w:t>第4至5条</w:t>
      </w:r>
      <w:r>
        <w:rPr>
          <w:rFonts w:hint="eastAsia" w:ascii="宋体" w:hAnsi="宋体"/>
          <w:spacing w:val="10"/>
          <w:sz w:val="21"/>
          <w:szCs w:val="21"/>
        </w:rPr>
        <w:t>规定提交商务文件和技术、服务文件，其中加</w:t>
      </w:r>
      <w:r>
        <w:rPr>
          <w:rFonts w:hint="eastAsia" w:ascii="宋体" w:hAnsi="宋体"/>
          <w:spacing w:val="10"/>
          <w:szCs w:val="21"/>
        </w:rPr>
        <w:t>*</w:t>
      </w:r>
      <w:r>
        <w:rPr>
          <w:rFonts w:hint="eastAsia" w:ascii="宋体" w:hAnsi="宋体"/>
          <w:spacing w:val="10"/>
          <w:sz w:val="21"/>
          <w:szCs w:val="21"/>
        </w:rPr>
        <w:t>项目若有实质性修改或非实质性响应，将导致</w:t>
      </w:r>
      <w:r>
        <w:rPr>
          <w:rFonts w:hint="eastAsia" w:ascii="宋体" w:hAnsi="宋体"/>
          <w:b/>
          <w:spacing w:val="10"/>
          <w:sz w:val="21"/>
          <w:szCs w:val="21"/>
        </w:rPr>
        <w:t>响应被拒绝</w:t>
      </w:r>
      <w:r>
        <w:rPr>
          <w:rFonts w:hint="eastAsia" w:ascii="宋体" w:hAnsi="宋体"/>
          <w:spacing w:val="10"/>
          <w:sz w:val="21"/>
          <w:szCs w:val="21"/>
        </w:rPr>
        <w:t>且不允许在响应截止后补正（具体填写要求详见磋商文件</w:t>
      </w:r>
      <w:r>
        <w:rPr>
          <w:rFonts w:hint="eastAsia" w:ascii="宋体" w:hAnsi="宋体"/>
          <w:spacing w:val="10"/>
          <w:sz w:val="21"/>
          <w:szCs w:val="21"/>
          <w:u w:val="single"/>
        </w:rPr>
        <w:t>第七章</w:t>
      </w:r>
      <w:r>
        <w:rPr>
          <w:rFonts w:hint="eastAsia" w:ascii="宋体" w:hAnsi="宋体"/>
          <w:spacing w:val="10"/>
          <w:sz w:val="21"/>
          <w:szCs w:val="21"/>
        </w:rPr>
        <w:t>）</w:t>
      </w:r>
      <w:r>
        <w:rPr>
          <w:rFonts w:hint="eastAsia"/>
          <w:spacing w:val="10"/>
          <w:sz w:val="21"/>
          <w:szCs w:val="21"/>
        </w:rPr>
        <w:t>。</w:t>
      </w:r>
    </w:p>
    <w:p>
      <w:pPr>
        <w:pStyle w:val="146"/>
        <w:numPr>
          <w:ilvl w:val="1"/>
          <w:numId w:val="9"/>
        </w:numPr>
        <w:tabs>
          <w:tab w:val="left" w:pos="709"/>
        </w:tabs>
        <w:snapToGrid w:val="0"/>
        <w:ind w:left="709"/>
        <w:textAlignment w:val="auto"/>
        <w:rPr>
          <w:spacing w:val="10"/>
        </w:rPr>
      </w:pPr>
      <w:r>
        <w:rPr>
          <w:rFonts w:hint="eastAsia"/>
          <w:spacing w:val="10"/>
        </w:rPr>
        <w:t>响应文件印制装订要求</w:t>
      </w:r>
    </w:p>
    <w:p>
      <w:pPr>
        <w:numPr>
          <w:ilvl w:val="0"/>
          <w:numId w:val="10"/>
        </w:numPr>
        <w:spacing w:line="240" w:lineRule="auto"/>
        <w:textAlignment w:val="auto"/>
        <w:rPr>
          <w:rFonts w:ascii="宋体" w:hAnsi="宋体"/>
          <w:sz w:val="21"/>
          <w:szCs w:val="21"/>
        </w:rPr>
      </w:pPr>
      <w:r>
        <w:rPr>
          <w:rFonts w:hint="eastAsia" w:ascii="宋体" w:hAnsi="宋体"/>
          <w:sz w:val="21"/>
          <w:szCs w:val="21"/>
        </w:rPr>
        <w:t>响应文件规格幅面不限，副本应与正本一致。响应文件正本须逐页加盖供应商公章及骑缝章，正本未逐页加盖供应商公章及骑缝章的响应文件将作</w:t>
      </w:r>
      <w:r>
        <w:rPr>
          <w:rFonts w:hint="eastAsia" w:ascii="宋体" w:hAnsi="宋体"/>
          <w:b/>
          <w:sz w:val="21"/>
          <w:szCs w:val="21"/>
        </w:rPr>
        <w:t>无效响应处理</w:t>
      </w:r>
      <w:r>
        <w:rPr>
          <w:rFonts w:hint="eastAsia" w:ascii="宋体" w:hAnsi="宋体"/>
          <w:sz w:val="21"/>
          <w:szCs w:val="21"/>
        </w:rPr>
        <w:t>；如果响应文件正本与副本不符，以正本为准，电子响应文件与纸质响应文件不符，以纸质响应文件为准。响应文件副本可采用正本的复印件，但须加盖骑缝章且封面须加盖供应商公章，响应文件副本未加盖骑缝章或封面未加盖供应商公章的将作</w:t>
      </w:r>
      <w:r>
        <w:rPr>
          <w:rFonts w:hint="eastAsia" w:ascii="宋体" w:hAnsi="宋体"/>
          <w:b/>
          <w:sz w:val="21"/>
          <w:szCs w:val="21"/>
        </w:rPr>
        <w:t>无效响应处理</w:t>
      </w:r>
      <w:r>
        <w:rPr>
          <w:rFonts w:hint="eastAsia" w:ascii="宋体" w:hAnsi="宋体"/>
          <w:sz w:val="21"/>
          <w:szCs w:val="21"/>
        </w:rPr>
        <w:t>。</w:t>
      </w:r>
    </w:p>
    <w:p>
      <w:pPr>
        <w:numPr>
          <w:ilvl w:val="0"/>
          <w:numId w:val="10"/>
        </w:numPr>
        <w:spacing w:line="240" w:lineRule="auto"/>
        <w:textAlignment w:val="auto"/>
        <w:rPr>
          <w:rFonts w:ascii="宋体" w:hAnsi="宋体"/>
          <w:sz w:val="21"/>
          <w:szCs w:val="21"/>
        </w:rPr>
      </w:pPr>
      <w:r>
        <w:rPr>
          <w:rFonts w:hint="eastAsia" w:ascii="宋体" w:hAnsi="宋体"/>
          <w:sz w:val="21"/>
          <w:szCs w:val="21"/>
        </w:rPr>
        <w:t>响应文件应装订牢固、不易拆散和换页等，对响应文件装订不牢固等原因导致而可能发生的文件散落或缺损，其风险由供应商自行承担。</w:t>
      </w:r>
    </w:p>
    <w:p>
      <w:pPr>
        <w:numPr>
          <w:ilvl w:val="0"/>
          <w:numId w:val="10"/>
        </w:numPr>
        <w:spacing w:line="240" w:lineRule="auto"/>
        <w:textAlignment w:val="auto"/>
        <w:rPr>
          <w:rFonts w:ascii="宋体" w:hAnsi="宋体"/>
          <w:sz w:val="21"/>
          <w:szCs w:val="21"/>
        </w:rPr>
      </w:pPr>
      <w:r>
        <w:rPr>
          <w:rFonts w:hint="eastAsia" w:ascii="宋体" w:hAnsi="宋体"/>
          <w:sz w:val="21"/>
          <w:szCs w:val="21"/>
        </w:rPr>
        <w:t>响应文件应有详细目录，内容清晰、完整，逐页有连续页码，目录与有关材料装订顺序对应清晰，查阅方便。若因响应文件编制混乱，导致响应文件被误读或查找不到，无法对应查阅而产生的评审结果，其风险由供应商自行承担。</w:t>
      </w:r>
    </w:p>
    <w:p>
      <w:pPr>
        <w:pStyle w:val="146"/>
        <w:numPr>
          <w:ilvl w:val="1"/>
          <w:numId w:val="9"/>
        </w:numPr>
        <w:tabs>
          <w:tab w:val="left" w:pos="709"/>
        </w:tabs>
        <w:snapToGrid w:val="0"/>
        <w:ind w:left="709"/>
        <w:textAlignment w:val="auto"/>
      </w:pPr>
      <w:r>
        <w:rPr>
          <w:rFonts w:hint="eastAsia"/>
        </w:rPr>
        <w:t>响应报价</w:t>
      </w:r>
    </w:p>
    <w:p>
      <w:pPr>
        <w:numPr>
          <w:ilvl w:val="0"/>
          <w:numId w:val="11"/>
        </w:numPr>
        <w:spacing w:line="240" w:lineRule="auto"/>
        <w:textAlignment w:val="auto"/>
        <w:rPr>
          <w:rFonts w:ascii="宋体" w:hAnsi="宋体"/>
          <w:sz w:val="21"/>
          <w:szCs w:val="21"/>
        </w:rPr>
      </w:pPr>
      <w:r>
        <w:rPr>
          <w:rFonts w:hint="eastAsia" w:ascii="宋体" w:hAnsi="宋体"/>
          <w:sz w:val="21"/>
          <w:szCs w:val="21"/>
        </w:rPr>
        <w:t>供应商应按照磋商文件第五章“磋商内容及要求”规定的供货内容、责任范围以及合同条款并结合自身技术、管理水平、经营状况及市场行情等进行报价。并按报价一览表、分项报价表（如有）指定的格式报出总价和分项价格（如有）。</w:t>
      </w:r>
    </w:p>
    <w:p>
      <w:pPr>
        <w:numPr>
          <w:ilvl w:val="0"/>
          <w:numId w:val="11"/>
        </w:numPr>
        <w:spacing w:line="240" w:lineRule="auto"/>
        <w:textAlignment w:val="auto"/>
        <w:rPr>
          <w:rFonts w:ascii="宋体" w:hAnsi="宋体"/>
          <w:sz w:val="21"/>
          <w:szCs w:val="21"/>
        </w:rPr>
      </w:pPr>
      <w:r>
        <w:rPr>
          <w:rFonts w:hint="eastAsia" w:ascii="宋体" w:hAnsi="宋体"/>
          <w:sz w:val="21"/>
          <w:szCs w:val="21"/>
        </w:rPr>
        <w:t>响应报价是磋商文件所确定采购范围内的全部工作内容的价格体现。包括按照磋商文件要求完成本项目的全部费用。</w:t>
      </w:r>
    </w:p>
    <w:p>
      <w:pPr>
        <w:numPr>
          <w:ilvl w:val="0"/>
          <w:numId w:val="11"/>
        </w:numPr>
        <w:spacing w:line="240" w:lineRule="auto"/>
        <w:textAlignment w:val="auto"/>
        <w:rPr>
          <w:rFonts w:ascii="宋体" w:hAnsi="宋体"/>
          <w:sz w:val="21"/>
          <w:szCs w:val="21"/>
        </w:rPr>
      </w:pPr>
      <w:r>
        <w:rPr>
          <w:rFonts w:hint="eastAsia" w:ascii="宋体" w:hAnsi="宋体"/>
          <w:sz w:val="21"/>
          <w:szCs w:val="21"/>
        </w:rPr>
        <w:t>分项报价表填写时应注意所有应由供应商支付的税款和其它应交纳的费用（包括但不限于</w:t>
      </w:r>
      <w:r>
        <w:rPr>
          <w:rFonts w:hint="eastAsia" w:ascii="宋体" w:hAnsi="宋体"/>
          <w:sz w:val="21"/>
          <w:szCs w:val="21"/>
          <w:lang w:val="zh-CN"/>
        </w:rPr>
        <w:t>制造、包装、运输、施工、安装、调试、培训和售后服务等全部工作（含保险、卸车费）</w:t>
      </w:r>
      <w:r>
        <w:rPr>
          <w:rFonts w:hint="eastAsia" w:ascii="宋体" w:hAnsi="宋体"/>
          <w:sz w:val="21"/>
          <w:szCs w:val="21"/>
        </w:rPr>
        <w:t>都须在分项报价表中列明。</w:t>
      </w:r>
    </w:p>
    <w:p>
      <w:pPr>
        <w:numPr>
          <w:ilvl w:val="0"/>
          <w:numId w:val="11"/>
        </w:numPr>
        <w:spacing w:line="240" w:lineRule="auto"/>
        <w:textAlignment w:val="auto"/>
        <w:rPr>
          <w:rFonts w:ascii="宋体" w:hAnsi="宋体"/>
          <w:sz w:val="21"/>
          <w:szCs w:val="21"/>
        </w:rPr>
      </w:pPr>
      <w:r>
        <w:rPr>
          <w:rFonts w:hint="eastAsia" w:ascii="宋体" w:hAnsi="宋体"/>
          <w:sz w:val="21"/>
          <w:szCs w:val="21"/>
        </w:rPr>
        <w:t>供应商对响应报价若有说明应在报价一览表备注处注明，其优惠才会在评审时予以考虑，响应的报价优惠应对应报价一览表。</w:t>
      </w:r>
    </w:p>
    <w:p>
      <w:pPr>
        <w:pStyle w:val="146"/>
        <w:numPr>
          <w:ilvl w:val="1"/>
          <w:numId w:val="9"/>
        </w:numPr>
        <w:tabs>
          <w:tab w:val="left" w:pos="709"/>
        </w:tabs>
        <w:snapToGrid w:val="0"/>
        <w:ind w:left="709"/>
        <w:textAlignment w:val="auto"/>
      </w:pPr>
      <w:r>
        <w:rPr>
          <w:rFonts w:hint="eastAsia"/>
        </w:rPr>
        <w:t>政府采购扶持政策</w:t>
      </w:r>
    </w:p>
    <w:p>
      <w:pPr>
        <w:numPr>
          <w:ilvl w:val="0"/>
          <w:numId w:val="12"/>
        </w:numPr>
        <w:snapToGrid w:val="0"/>
        <w:spacing w:line="240" w:lineRule="auto"/>
        <w:textAlignment w:val="auto"/>
        <w:rPr>
          <w:rFonts w:ascii="宋体" w:hAnsi="宋体"/>
          <w:sz w:val="21"/>
          <w:szCs w:val="21"/>
        </w:rPr>
      </w:pPr>
      <w:r>
        <w:rPr>
          <w:rFonts w:hint="eastAsia" w:ascii="宋体" w:hAnsi="宋体"/>
          <w:sz w:val="21"/>
          <w:szCs w:val="21"/>
        </w:rPr>
        <w:t>支持中小企业政策</w:t>
      </w:r>
    </w:p>
    <w:p>
      <w:pPr>
        <w:snapToGrid w:val="0"/>
        <w:spacing w:line="240" w:lineRule="auto"/>
        <w:ind w:left="1200"/>
        <w:textAlignment w:val="auto"/>
        <w:rPr>
          <w:rFonts w:ascii="宋体" w:hAnsi="宋体"/>
          <w:sz w:val="21"/>
          <w:szCs w:val="21"/>
        </w:rPr>
      </w:pPr>
      <w:r>
        <w:rPr>
          <w:rFonts w:hint="eastAsia" w:ascii="宋体" w:hAnsi="宋体"/>
          <w:sz w:val="21"/>
          <w:szCs w:val="21"/>
        </w:rPr>
        <w:t>本项目非专门面向中小企业或小型、微型企业采购。</w:t>
      </w:r>
    </w:p>
    <w:p>
      <w:pPr>
        <w:snapToGrid w:val="0"/>
        <w:spacing w:line="240" w:lineRule="auto"/>
        <w:ind w:left="1200"/>
        <w:textAlignment w:val="auto"/>
        <w:rPr>
          <w:rFonts w:ascii="宋体" w:hAnsi="宋体"/>
          <w:sz w:val="21"/>
          <w:szCs w:val="21"/>
        </w:rPr>
      </w:pPr>
      <w:r>
        <w:rPr>
          <w:rFonts w:hint="eastAsia" w:ascii="宋体" w:hAnsi="宋体"/>
          <w:sz w:val="21"/>
          <w:szCs w:val="21"/>
        </w:rPr>
        <w:t>货物类项目：供应商和所投产品制造商如符合工信部联企业〔2011〕300号文中对中小企业划型标准的（监狱企业、残疾人福利单位视同小微企业），供应商需提供《中小企业声明函》</w:t>
      </w:r>
      <w:r>
        <w:rPr>
          <w:rFonts w:hint="eastAsia" w:ascii="宋体" w:hAnsi="宋体"/>
          <w:spacing w:val="10"/>
          <w:sz w:val="21"/>
          <w:szCs w:val="21"/>
        </w:rPr>
        <w:t>，并在声明函中声明所投产品制造商为小微企业</w:t>
      </w:r>
      <w:r>
        <w:rPr>
          <w:rFonts w:hint="eastAsia" w:ascii="宋体" w:hAnsi="宋体"/>
          <w:sz w:val="21"/>
          <w:szCs w:val="21"/>
        </w:rPr>
        <w:t>；残疾人福利性单位须提供《残疾人福利性单位声明函》；监狱企业须提供省级以上监狱管理局、戒毒管理局（含新疆生产建设兵团）出具的属于监狱企业证明文件。若本项目采购多类产品，供应商提供单类或几类产品制造商为小微企业的，还须提供小微企业制造商产品价格明细表，以便计算价格扣除。磋商小组将根据财库〔2011〕181号文的相关规定在磋商时给予相应产品价格6%的扣除，用扣除后的价格参与评审。未提供以上材料或提供材料不全的，将不给予价格扣除。</w:t>
      </w:r>
    </w:p>
    <w:p>
      <w:pPr>
        <w:snapToGrid w:val="0"/>
        <w:spacing w:line="240" w:lineRule="auto"/>
        <w:ind w:left="1200"/>
        <w:textAlignment w:val="auto"/>
        <w:rPr>
          <w:rFonts w:ascii="宋体" w:hAnsi="宋体"/>
          <w:sz w:val="21"/>
          <w:szCs w:val="21"/>
        </w:rPr>
      </w:pPr>
      <w:r>
        <w:rPr>
          <w:rFonts w:hint="eastAsia" w:ascii="宋体" w:hAnsi="宋体"/>
          <w:sz w:val="21"/>
          <w:szCs w:val="21"/>
        </w:rPr>
        <w:t>工程、服务类项目：供应商如符如工信部联企业〔2011〕300号文中对中小企业划型标准的（监狱企业、残疾人福利单位视同小微企业），供应商须提供《中小企业声明函》，残疾人福利性单位须提供《残疾人福利性单位声明函》，监狱企业须提供省级以上监狱管理局、戒毒管理局（含新疆生产建设兵团）出具的属于监狱企业证明文件，磋商小组将根据财库〔2011〕181号文的相关规定在磋商时给予价格6%的扣除，用扣除后的价格参与评审。未提供以上材料的，将不给予价格扣除。</w:t>
      </w:r>
    </w:p>
    <w:p>
      <w:pPr>
        <w:snapToGrid w:val="0"/>
        <w:spacing w:line="240" w:lineRule="auto"/>
        <w:ind w:left="1200"/>
        <w:textAlignment w:val="auto"/>
        <w:rPr>
          <w:rFonts w:ascii="宋体" w:hAnsi="宋体"/>
          <w:sz w:val="21"/>
          <w:szCs w:val="21"/>
        </w:rPr>
      </w:pPr>
      <w:r>
        <w:rPr>
          <w:rFonts w:hint="eastAsia" w:ascii="宋体" w:hAnsi="宋体"/>
          <w:b/>
          <w:sz w:val="21"/>
          <w:szCs w:val="21"/>
        </w:rPr>
        <w:t>供应商应严格参照工信部联企业〔2011〕300号文中对中小企业划型标准，声明属于哪一类型企业，否则作提供虚假材料处理。</w:t>
      </w:r>
    </w:p>
    <w:p>
      <w:pPr>
        <w:numPr>
          <w:ilvl w:val="0"/>
          <w:numId w:val="12"/>
        </w:numPr>
        <w:snapToGrid w:val="0"/>
        <w:spacing w:line="240" w:lineRule="auto"/>
        <w:textAlignment w:val="auto"/>
        <w:rPr>
          <w:rFonts w:ascii="宋体" w:hAnsi="宋体"/>
          <w:sz w:val="21"/>
          <w:szCs w:val="21"/>
        </w:rPr>
      </w:pPr>
      <w:r>
        <w:rPr>
          <w:rFonts w:hint="eastAsia" w:ascii="宋体" w:hAnsi="宋体"/>
          <w:sz w:val="21"/>
          <w:szCs w:val="21"/>
        </w:rPr>
        <w:t>政府采购节能环保政策</w:t>
      </w:r>
    </w:p>
    <w:p>
      <w:pPr>
        <w:snapToGrid w:val="0"/>
        <w:spacing w:line="240" w:lineRule="auto"/>
        <w:ind w:left="1200"/>
        <w:textAlignment w:val="auto"/>
        <w:rPr>
          <w:rFonts w:ascii="宋体" w:hAnsi="宋体"/>
          <w:sz w:val="21"/>
          <w:szCs w:val="21"/>
        </w:rPr>
      </w:pPr>
      <w:r>
        <w:rPr>
          <w:rFonts w:hint="eastAsia" w:ascii="宋体" w:hAnsi="宋体"/>
          <w:sz w:val="21"/>
          <w:szCs w:val="21"/>
        </w:rPr>
        <w:t>供应商提供的产品为节能产品，提供该产品节能认证证书或在中国政府采购网（</w:t>
      </w:r>
      <w:r>
        <w:rPr>
          <w:rFonts w:ascii="宋体" w:hAnsi="宋体"/>
          <w:sz w:val="21"/>
          <w:szCs w:val="21"/>
        </w:rPr>
        <w:t>http：//www.ccgp.gov.cn/</w:t>
      </w:r>
      <w:r>
        <w:rPr>
          <w:rFonts w:hint="eastAsia" w:ascii="宋体" w:hAnsi="宋体"/>
          <w:sz w:val="21"/>
          <w:szCs w:val="21"/>
        </w:rPr>
        <w:t>）中节能产品清单查询截图，即可给予相应产品价格3%的扣除，用扣除后的价格参与评审。若本项目采购多类产品，供应商提供单类或几类产品为节能产品，则还须提供节能产品价格明细表，以便计算价格扣除。若未提供以上证明材料或提供证明材料不全的，将不给予相关价格扣除。</w:t>
      </w:r>
    </w:p>
    <w:p>
      <w:pPr>
        <w:snapToGrid w:val="0"/>
        <w:spacing w:line="240" w:lineRule="auto"/>
        <w:ind w:left="1200"/>
        <w:textAlignment w:val="auto"/>
        <w:rPr>
          <w:rFonts w:ascii="宋体" w:hAnsi="宋体"/>
          <w:sz w:val="21"/>
          <w:szCs w:val="21"/>
        </w:rPr>
      </w:pPr>
      <w:r>
        <w:rPr>
          <w:rFonts w:hint="eastAsia" w:ascii="宋体" w:hAnsi="宋体"/>
          <w:sz w:val="21"/>
          <w:szCs w:val="21"/>
        </w:rPr>
        <w:t>供应商提供的产品为环保标志产品，提供该产品环保标志认证证书或在中国政府采购网（</w:t>
      </w:r>
      <w:r>
        <w:rPr>
          <w:rFonts w:ascii="宋体" w:hAnsi="宋体"/>
          <w:sz w:val="21"/>
          <w:szCs w:val="21"/>
        </w:rPr>
        <w:t>http：//www.ccgp.gov.cn/</w:t>
      </w:r>
      <w:r>
        <w:rPr>
          <w:rFonts w:hint="eastAsia" w:ascii="宋体" w:hAnsi="宋体"/>
          <w:sz w:val="21"/>
          <w:szCs w:val="21"/>
        </w:rPr>
        <w:t>）中环保标志产品清单查询截图，即可给予相应产品价格3%的扣除，用扣除后的价格参与评审。若本项目采购多类产品，供应商提供单类或几类产品为环保标志产品，则还须提供环保标志产品价格明细表，以便计算价格扣除。若未提供以上证明材料或提供证明材料不全的，将不给予相关价格扣除。</w:t>
      </w:r>
    </w:p>
    <w:p>
      <w:pPr>
        <w:pStyle w:val="146"/>
        <w:snapToGrid w:val="0"/>
        <w:textAlignment w:val="auto"/>
      </w:pPr>
    </w:p>
    <w:p>
      <w:pPr>
        <w:pStyle w:val="146"/>
        <w:numPr>
          <w:ilvl w:val="0"/>
          <w:numId w:val="9"/>
        </w:numPr>
        <w:tabs>
          <w:tab w:val="left" w:pos="0"/>
          <w:tab w:val="clear" w:pos="2553"/>
        </w:tabs>
        <w:ind w:left="0" w:firstLine="0"/>
        <w:textAlignment w:val="auto"/>
      </w:pPr>
      <w:r>
        <w:rPr>
          <w:rFonts w:hint="eastAsia"/>
        </w:rPr>
        <w:t>响应内容填写说明</w:t>
      </w:r>
    </w:p>
    <w:p>
      <w:pPr>
        <w:pStyle w:val="146"/>
        <w:numPr>
          <w:ilvl w:val="1"/>
          <w:numId w:val="9"/>
        </w:numPr>
        <w:tabs>
          <w:tab w:val="left" w:pos="709"/>
        </w:tabs>
        <w:ind w:left="709"/>
        <w:textAlignment w:val="auto"/>
        <w:rPr>
          <w:spacing w:val="10"/>
        </w:rPr>
      </w:pPr>
      <w:r>
        <w:rPr>
          <w:rFonts w:hint="eastAsia"/>
          <w:spacing w:val="10"/>
        </w:rPr>
        <w:t>供应商应详细阅读磋商文件的全部内容。响应文件须对磋商文件中的内容做出实质性、清晰性和完整性的响应，未对磋商文件中的内容做出实质性响应或响应文件填报的内容不清晰、不完整等，将可能导致</w:t>
      </w:r>
      <w:r>
        <w:rPr>
          <w:rFonts w:hint="eastAsia"/>
          <w:b/>
          <w:spacing w:val="10"/>
        </w:rPr>
        <w:t>响应被否绝</w:t>
      </w:r>
      <w:r>
        <w:rPr>
          <w:rFonts w:hint="eastAsia"/>
          <w:spacing w:val="10"/>
        </w:rPr>
        <w:t>。</w:t>
      </w:r>
    </w:p>
    <w:p>
      <w:pPr>
        <w:pStyle w:val="146"/>
        <w:numPr>
          <w:ilvl w:val="1"/>
          <w:numId w:val="9"/>
        </w:numPr>
        <w:tabs>
          <w:tab w:val="left" w:pos="709"/>
        </w:tabs>
        <w:ind w:left="709"/>
        <w:textAlignment w:val="auto"/>
        <w:rPr>
          <w:spacing w:val="10"/>
        </w:rPr>
      </w:pPr>
      <w:r>
        <w:rPr>
          <w:rFonts w:hint="eastAsia"/>
          <w:spacing w:val="10"/>
        </w:rPr>
        <w:t>响应文件应严格按照磋商文件第七章的要求提交，并按规定的统一格式逐项填写</w:t>
      </w:r>
      <w:r>
        <w:rPr>
          <w:rFonts w:hint="eastAsia"/>
        </w:rPr>
        <w:t>。且</w:t>
      </w:r>
      <w:r>
        <w:rPr>
          <w:rFonts w:hint="eastAsia"/>
          <w:spacing w:val="10"/>
        </w:rPr>
        <w:t>不得对响应文件格式内容进行实质性修改，否则将被视为非实质性响应，其</w:t>
      </w:r>
      <w:r>
        <w:rPr>
          <w:rFonts w:hint="eastAsia"/>
          <w:b/>
          <w:spacing w:val="10"/>
        </w:rPr>
        <w:t>响应被否绝</w:t>
      </w:r>
      <w:r>
        <w:rPr>
          <w:rFonts w:hint="eastAsia"/>
          <w:spacing w:val="10"/>
        </w:rPr>
        <w:t>。</w:t>
      </w:r>
    </w:p>
    <w:p>
      <w:pPr>
        <w:pStyle w:val="146"/>
        <w:numPr>
          <w:ilvl w:val="1"/>
          <w:numId w:val="9"/>
        </w:numPr>
        <w:tabs>
          <w:tab w:val="left" w:pos="709"/>
        </w:tabs>
        <w:ind w:left="709"/>
        <w:textAlignment w:val="auto"/>
        <w:rPr>
          <w:spacing w:val="10"/>
        </w:rPr>
      </w:pPr>
      <w:r>
        <w:rPr>
          <w:rFonts w:hint="eastAsia"/>
          <w:spacing w:val="10"/>
        </w:rPr>
        <w:t>报价一览表要求按格式统一填写，不得自行删减内容，否则</w:t>
      </w:r>
      <w:r>
        <w:rPr>
          <w:rFonts w:hint="eastAsia"/>
          <w:b/>
          <w:spacing w:val="10"/>
        </w:rPr>
        <w:t>作无效响应处理</w:t>
      </w:r>
      <w:r>
        <w:rPr>
          <w:rFonts w:hint="eastAsia"/>
          <w:spacing w:val="10"/>
        </w:rPr>
        <w:t>。</w:t>
      </w:r>
    </w:p>
    <w:p>
      <w:pPr>
        <w:pStyle w:val="146"/>
        <w:numPr>
          <w:ilvl w:val="1"/>
          <w:numId w:val="9"/>
        </w:numPr>
        <w:tabs>
          <w:tab w:val="left" w:pos="709"/>
        </w:tabs>
        <w:snapToGrid w:val="0"/>
        <w:ind w:left="709"/>
        <w:textAlignment w:val="auto"/>
      </w:pPr>
      <w:r>
        <w:rPr>
          <w:rFonts w:hint="eastAsia"/>
          <w:spacing w:val="10"/>
        </w:rPr>
        <w:t>供应商必须保证响应文件所提供的全部资料真实可靠，并接受采购人或磋商小组对其中任何资料进一步审查的要</w:t>
      </w:r>
      <w:r>
        <w:rPr>
          <w:rFonts w:hint="eastAsia"/>
        </w:rPr>
        <w:t>求。</w:t>
      </w:r>
    </w:p>
    <w:p>
      <w:pPr>
        <w:spacing w:line="240" w:lineRule="auto"/>
        <w:jc w:val="both"/>
        <w:rPr>
          <w:rFonts w:ascii="宋体" w:hAnsi="宋体"/>
          <w:sz w:val="21"/>
          <w:szCs w:val="21"/>
        </w:rPr>
      </w:pPr>
    </w:p>
    <w:p>
      <w:pPr>
        <w:pStyle w:val="146"/>
        <w:numPr>
          <w:ilvl w:val="0"/>
          <w:numId w:val="9"/>
        </w:numPr>
        <w:tabs>
          <w:tab w:val="left" w:pos="0"/>
          <w:tab w:val="clear" w:pos="2553"/>
        </w:tabs>
        <w:ind w:left="0" w:firstLine="0"/>
        <w:textAlignment w:val="auto"/>
      </w:pPr>
      <w:r>
        <w:rPr>
          <w:rFonts w:hint="eastAsia"/>
        </w:rPr>
        <w:t>响应文件的有效期</w:t>
      </w:r>
    </w:p>
    <w:p>
      <w:pPr>
        <w:pStyle w:val="146"/>
        <w:numPr>
          <w:ilvl w:val="1"/>
          <w:numId w:val="9"/>
        </w:numPr>
        <w:tabs>
          <w:tab w:val="left" w:pos="709"/>
        </w:tabs>
        <w:snapToGrid w:val="0"/>
        <w:ind w:left="709"/>
        <w:textAlignment w:val="auto"/>
      </w:pPr>
      <w:r>
        <w:rPr>
          <w:rFonts w:hint="eastAsia"/>
        </w:rPr>
        <w:t>本项目响应文件的有效期详见供应商须知前附表。有效期短于该规定期限的</w:t>
      </w:r>
      <w:r>
        <w:rPr>
          <w:rFonts w:hint="eastAsia"/>
          <w:b/>
        </w:rPr>
        <w:t>响应将被拒绝</w:t>
      </w:r>
      <w:r>
        <w:rPr>
          <w:rFonts w:hint="eastAsia"/>
        </w:rPr>
        <w:t>。</w:t>
      </w:r>
    </w:p>
    <w:p>
      <w:pPr>
        <w:pStyle w:val="146"/>
        <w:numPr>
          <w:ilvl w:val="1"/>
          <w:numId w:val="9"/>
        </w:numPr>
        <w:tabs>
          <w:tab w:val="left" w:pos="709"/>
        </w:tabs>
        <w:snapToGrid w:val="0"/>
        <w:ind w:left="709"/>
        <w:textAlignment w:val="auto"/>
      </w:pPr>
      <w:r>
        <w:rPr>
          <w:rFonts w:hint="eastAsia"/>
        </w:rPr>
        <w:t>在特殊情况下，采购人可与供应商协商延长响应文件的有效期。这种要求和答复都应以书面形式进行。供应商可以拒绝接受延期要求。同意延长有效期的供应商除按照采购人要求修改响应文件有效期外，不能修改响应文件的其他内容。</w:t>
      </w:r>
    </w:p>
    <w:p>
      <w:pPr>
        <w:spacing w:line="240" w:lineRule="auto"/>
        <w:ind w:left="718" w:hanging="718" w:hangingChars="342"/>
        <w:rPr>
          <w:rFonts w:ascii="宋体" w:hAnsi="宋体"/>
          <w:sz w:val="21"/>
          <w:szCs w:val="21"/>
        </w:rPr>
      </w:pPr>
    </w:p>
    <w:p>
      <w:pPr>
        <w:pStyle w:val="146"/>
        <w:numPr>
          <w:ilvl w:val="0"/>
          <w:numId w:val="9"/>
        </w:numPr>
        <w:tabs>
          <w:tab w:val="left" w:pos="0"/>
          <w:tab w:val="clear" w:pos="2553"/>
        </w:tabs>
        <w:ind w:left="0" w:firstLine="0"/>
        <w:textAlignment w:val="auto"/>
      </w:pPr>
      <w:r>
        <w:rPr>
          <w:rFonts w:hint="eastAsia"/>
        </w:rPr>
        <w:t>响应文件的签署、盖章及其他规定</w:t>
      </w:r>
    </w:p>
    <w:p>
      <w:pPr>
        <w:pStyle w:val="146"/>
        <w:numPr>
          <w:ilvl w:val="1"/>
          <w:numId w:val="9"/>
        </w:numPr>
        <w:tabs>
          <w:tab w:val="left" w:pos="709"/>
        </w:tabs>
        <w:ind w:left="709"/>
        <w:textAlignment w:val="auto"/>
        <w:rPr>
          <w:spacing w:val="10"/>
        </w:rPr>
      </w:pPr>
      <w:r>
        <w:rPr>
          <w:rFonts w:hint="eastAsia"/>
          <w:spacing w:val="10"/>
        </w:rPr>
        <w:t>组成响应文件的各项文件均应遵守本条。</w:t>
      </w:r>
    </w:p>
    <w:p>
      <w:pPr>
        <w:pStyle w:val="146"/>
        <w:tabs>
          <w:tab w:val="left" w:pos="709"/>
        </w:tabs>
        <w:ind w:left="709"/>
        <w:textAlignment w:val="auto"/>
        <w:rPr>
          <w:spacing w:val="10"/>
        </w:rPr>
      </w:pPr>
      <w:r>
        <w:rPr>
          <w:rFonts w:hint="eastAsia"/>
          <w:spacing w:val="10"/>
        </w:rPr>
        <w:t>响</w:t>
      </w:r>
      <w:r>
        <w:rPr>
          <w:rFonts w:hint="eastAsia"/>
          <w:bCs/>
          <w:spacing w:val="10"/>
        </w:rPr>
        <w:t>应文件应按磋商文件“第七章 响应文件格式”的要求在</w:t>
      </w:r>
      <w:r>
        <w:rPr>
          <w:bCs/>
          <w:spacing w:val="10"/>
        </w:rPr>
        <w:t>盖</w:t>
      </w:r>
      <w:r>
        <w:rPr>
          <w:rFonts w:hint="eastAsia"/>
          <w:bCs/>
          <w:spacing w:val="10"/>
        </w:rPr>
        <w:t>供应商公</w:t>
      </w:r>
      <w:r>
        <w:rPr>
          <w:bCs/>
          <w:spacing w:val="10"/>
        </w:rPr>
        <w:t>章</w:t>
      </w:r>
      <w:r>
        <w:rPr>
          <w:rFonts w:hint="eastAsia"/>
          <w:bCs/>
          <w:spacing w:val="10"/>
        </w:rPr>
        <w:t>、</w:t>
      </w:r>
      <w:r>
        <w:rPr>
          <w:bCs/>
          <w:spacing w:val="10"/>
        </w:rPr>
        <w:t>签字</w:t>
      </w:r>
      <w:r>
        <w:rPr>
          <w:rFonts w:hint="eastAsia"/>
          <w:bCs/>
          <w:spacing w:val="10"/>
        </w:rPr>
        <w:t>或签章的地方，供应商</w:t>
      </w:r>
      <w:r>
        <w:rPr>
          <w:bCs/>
          <w:spacing w:val="10"/>
        </w:rPr>
        <w:t>均应盖</w:t>
      </w:r>
      <w:r>
        <w:rPr>
          <w:rFonts w:hint="eastAsia"/>
          <w:bCs/>
          <w:spacing w:val="10"/>
        </w:rPr>
        <w:t>供应商标准公章、</w:t>
      </w:r>
      <w:r>
        <w:rPr>
          <w:bCs/>
          <w:spacing w:val="10"/>
        </w:rPr>
        <w:t>签字</w:t>
      </w:r>
      <w:r>
        <w:rPr>
          <w:rFonts w:hint="eastAsia"/>
          <w:bCs/>
          <w:spacing w:val="10"/>
        </w:rPr>
        <w:t>或盖个人印章。没有</w:t>
      </w:r>
      <w:r>
        <w:rPr>
          <w:bCs/>
          <w:spacing w:val="10"/>
        </w:rPr>
        <w:t>盖</w:t>
      </w:r>
      <w:r>
        <w:rPr>
          <w:rFonts w:hint="eastAsia"/>
          <w:bCs/>
          <w:spacing w:val="10"/>
        </w:rPr>
        <w:t>供应商标准公章、</w:t>
      </w:r>
      <w:r>
        <w:rPr>
          <w:bCs/>
          <w:spacing w:val="10"/>
        </w:rPr>
        <w:t>签字</w:t>
      </w:r>
      <w:r>
        <w:rPr>
          <w:rFonts w:hint="eastAsia"/>
          <w:bCs/>
          <w:spacing w:val="10"/>
        </w:rPr>
        <w:t>或盖个人印章的响应文件将</w:t>
      </w:r>
      <w:r>
        <w:rPr>
          <w:rFonts w:hint="eastAsia"/>
          <w:b/>
          <w:bCs/>
          <w:spacing w:val="10"/>
        </w:rPr>
        <w:t>被拒绝</w:t>
      </w:r>
      <w:r>
        <w:rPr>
          <w:rFonts w:hint="eastAsia"/>
          <w:spacing w:val="10"/>
        </w:rPr>
        <w:t>。</w:t>
      </w:r>
    </w:p>
    <w:p>
      <w:pPr>
        <w:pStyle w:val="146"/>
        <w:tabs>
          <w:tab w:val="left" w:pos="709"/>
        </w:tabs>
        <w:ind w:left="709"/>
        <w:textAlignment w:val="auto"/>
        <w:rPr>
          <w:spacing w:val="10"/>
        </w:rPr>
      </w:pPr>
      <w:r>
        <w:rPr>
          <w:rFonts w:hint="eastAsia"/>
          <w:spacing w:val="10"/>
        </w:rPr>
        <w:t>响应文件及相关文件的签订、履行、通知、密封等事项的书面文件中的单位盖章、公章等处均仅指与当事人名称全称相一致的标准公章，不得使用其它形式（如带有“专用章”等字样的公章等）。否则视为非实质性响应磋商文件，其</w:t>
      </w:r>
      <w:r>
        <w:rPr>
          <w:rFonts w:hint="eastAsia"/>
          <w:b/>
          <w:spacing w:val="10"/>
        </w:rPr>
        <w:t>响应被拒绝</w:t>
      </w:r>
      <w:r>
        <w:rPr>
          <w:rFonts w:hint="eastAsia"/>
          <w:spacing w:val="10"/>
        </w:rPr>
        <w:t>。</w:t>
      </w:r>
    </w:p>
    <w:p>
      <w:pPr>
        <w:pStyle w:val="146"/>
        <w:numPr>
          <w:ilvl w:val="1"/>
          <w:numId w:val="9"/>
        </w:numPr>
        <w:tabs>
          <w:tab w:val="left" w:pos="709"/>
        </w:tabs>
        <w:ind w:left="709"/>
        <w:textAlignment w:val="auto"/>
        <w:rPr>
          <w:spacing w:val="10"/>
        </w:rPr>
      </w:pPr>
      <w:r>
        <w:rPr>
          <w:rFonts w:hint="eastAsia"/>
        </w:rPr>
        <w:t>响应文件应准备正本一份和按照本磋商文件第二章“供应商须知前附表”规定的副本份数，电子响应文件（U盘或光盘）一份，</w:t>
      </w:r>
      <w:r>
        <w:rPr>
          <w:rFonts w:hint="eastAsia"/>
          <w:spacing w:val="10"/>
        </w:rPr>
        <w:t>若未按规定提交相应份数的响应文件，其</w:t>
      </w:r>
      <w:r>
        <w:rPr>
          <w:rFonts w:hint="eastAsia"/>
          <w:b/>
          <w:spacing w:val="10"/>
        </w:rPr>
        <w:t>响应将被否决</w:t>
      </w:r>
      <w:r>
        <w:rPr>
          <w:rFonts w:hint="eastAsia"/>
          <w:spacing w:val="10"/>
        </w:rPr>
        <w:t>。</w:t>
      </w:r>
    </w:p>
    <w:p>
      <w:pPr>
        <w:pStyle w:val="146"/>
        <w:numPr>
          <w:ilvl w:val="1"/>
          <w:numId w:val="9"/>
        </w:numPr>
        <w:tabs>
          <w:tab w:val="left" w:pos="709"/>
        </w:tabs>
        <w:ind w:left="709"/>
        <w:textAlignment w:val="auto"/>
      </w:pPr>
      <w:r>
        <w:rPr>
          <w:rFonts w:hint="eastAsia"/>
          <w:spacing w:val="10"/>
        </w:rPr>
        <w:t>响应</w:t>
      </w:r>
      <w:r>
        <w:rPr>
          <w:rFonts w:hint="eastAsia"/>
        </w:rPr>
        <w:t>文件的正本、副本必须用不褪色的墨水笔填写或打印，并注明“正本、副本”字样</w:t>
      </w:r>
      <w:r>
        <w:rPr>
          <w:rFonts w:hint="eastAsia"/>
          <w:spacing w:val="10"/>
        </w:rPr>
        <w:t>。</w:t>
      </w:r>
    </w:p>
    <w:p>
      <w:pPr>
        <w:pStyle w:val="146"/>
        <w:numPr>
          <w:ilvl w:val="1"/>
          <w:numId w:val="9"/>
        </w:numPr>
        <w:tabs>
          <w:tab w:val="left" w:pos="709"/>
        </w:tabs>
        <w:ind w:left="709"/>
        <w:textAlignment w:val="auto"/>
      </w:pPr>
      <w:r>
        <w:rPr>
          <w:rFonts w:hint="eastAsia" w:cs="宋体"/>
        </w:rPr>
        <w:t>响应文件</w:t>
      </w:r>
      <w:r>
        <w:rPr>
          <w:rFonts w:hint="eastAsia"/>
        </w:rPr>
        <w:t>原则上不得涂改或增删，如有修改或增删，必须有供应商公章及法定代表人或其授权的供应商代表签字。</w:t>
      </w:r>
    </w:p>
    <w:p>
      <w:pPr>
        <w:pStyle w:val="146"/>
        <w:textAlignment w:val="auto"/>
      </w:pPr>
    </w:p>
    <w:p>
      <w:pPr>
        <w:pStyle w:val="6"/>
      </w:pPr>
      <w:r>
        <w:rPr>
          <w:rFonts w:hint="eastAsia"/>
        </w:rPr>
        <w:t xml:space="preserve">四、响应文件的密封、标记及递交     </w:t>
      </w:r>
    </w:p>
    <w:p>
      <w:pPr>
        <w:pStyle w:val="146"/>
        <w:numPr>
          <w:ilvl w:val="0"/>
          <w:numId w:val="9"/>
        </w:numPr>
        <w:tabs>
          <w:tab w:val="left" w:pos="0"/>
          <w:tab w:val="clear" w:pos="2553"/>
        </w:tabs>
        <w:ind w:left="0" w:firstLine="0"/>
        <w:textAlignment w:val="auto"/>
      </w:pPr>
      <w:r>
        <w:rPr>
          <w:rFonts w:hint="eastAsia"/>
        </w:rPr>
        <w:t>响应文件的密封及标记</w:t>
      </w:r>
    </w:p>
    <w:p>
      <w:pPr>
        <w:pStyle w:val="146"/>
        <w:numPr>
          <w:ilvl w:val="1"/>
          <w:numId w:val="9"/>
        </w:numPr>
        <w:tabs>
          <w:tab w:val="left" w:pos="709"/>
        </w:tabs>
        <w:ind w:left="709"/>
        <w:textAlignment w:val="auto"/>
        <w:rPr>
          <w:spacing w:val="10"/>
        </w:rPr>
      </w:pPr>
      <w:r>
        <w:rPr>
          <w:rFonts w:hint="eastAsia"/>
          <w:spacing w:val="10"/>
        </w:rPr>
        <w:t>响应文件应按以下方法分别装袋密封：</w:t>
      </w:r>
    </w:p>
    <w:p>
      <w:pPr>
        <w:numPr>
          <w:ilvl w:val="0"/>
          <w:numId w:val="13"/>
        </w:numPr>
        <w:spacing w:line="240" w:lineRule="auto"/>
        <w:textAlignment w:val="auto"/>
        <w:rPr>
          <w:rFonts w:ascii="宋体" w:hAnsi="宋体"/>
          <w:sz w:val="21"/>
          <w:szCs w:val="21"/>
        </w:rPr>
      </w:pPr>
      <w:r>
        <w:rPr>
          <w:rFonts w:hint="eastAsia" w:ascii="宋体" w:hAnsi="宋体"/>
          <w:sz w:val="21"/>
          <w:szCs w:val="21"/>
        </w:rPr>
        <w:t>供应商应将正本响应文件（1份）、副本响应文件（2份）一起密封包装，并在密封封套上标明“项目编号、项目名称、供应商名称及响应文件”等类似字样，封口处须加盖供应商公章及法人章。</w:t>
      </w:r>
    </w:p>
    <w:p>
      <w:pPr>
        <w:numPr>
          <w:ilvl w:val="0"/>
          <w:numId w:val="13"/>
        </w:numPr>
        <w:spacing w:line="240" w:lineRule="auto"/>
        <w:textAlignment w:val="auto"/>
        <w:rPr>
          <w:rFonts w:ascii="宋体" w:hAnsi="宋体"/>
          <w:sz w:val="21"/>
          <w:szCs w:val="21"/>
        </w:rPr>
      </w:pPr>
      <w:r>
        <w:rPr>
          <w:rFonts w:hint="eastAsia" w:ascii="宋体" w:hAnsi="宋体"/>
          <w:sz w:val="21"/>
          <w:szCs w:val="21"/>
        </w:rPr>
        <w:t>供应商应将电子响应文件单独密封包装，并在密封封套上标明“项目编号、项目名称、供应商名称及电子响应文件”等类似字样，封口处须加盖供应商公章及法人章。</w:t>
      </w:r>
    </w:p>
    <w:p>
      <w:pPr>
        <w:numPr>
          <w:ilvl w:val="0"/>
          <w:numId w:val="13"/>
        </w:numPr>
        <w:spacing w:line="240" w:lineRule="auto"/>
        <w:textAlignment w:val="auto"/>
        <w:rPr>
          <w:rFonts w:ascii="宋体" w:hAnsi="宋体"/>
          <w:sz w:val="21"/>
          <w:szCs w:val="21"/>
        </w:rPr>
      </w:pPr>
      <w:r>
        <w:rPr>
          <w:rFonts w:hint="eastAsia" w:ascii="宋体" w:hAnsi="宋体"/>
          <w:sz w:val="21"/>
          <w:szCs w:val="21"/>
        </w:rPr>
        <w:t>供应商应将资格审查文件一起单独密封包装，并在密封封套上标明“项目编号、项目名称、供应商名称及资格审查文件”等类似字样，封口处须加盖供应商公章及法人章。</w:t>
      </w:r>
    </w:p>
    <w:p>
      <w:pPr>
        <w:numPr>
          <w:ilvl w:val="0"/>
          <w:numId w:val="13"/>
        </w:numPr>
        <w:spacing w:line="240" w:lineRule="auto"/>
        <w:textAlignment w:val="auto"/>
        <w:rPr>
          <w:rFonts w:ascii="宋体" w:hAnsi="宋体"/>
          <w:sz w:val="21"/>
          <w:szCs w:val="21"/>
        </w:rPr>
      </w:pPr>
      <w:r>
        <w:rPr>
          <w:rFonts w:hint="eastAsia" w:ascii="宋体" w:hAnsi="宋体"/>
          <w:sz w:val="21"/>
          <w:szCs w:val="21"/>
        </w:rPr>
        <w:t>报价一览表（1份）应单独密封包装，并在封套上标明“项目名称、项目编号、供应商名称及报价一览表” 等类似字样，封口处应加盖供应商公章及法人章。</w:t>
      </w:r>
    </w:p>
    <w:p>
      <w:pPr>
        <w:numPr>
          <w:ilvl w:val="0"/>
          <w:numId w:val="13"/>
        </w:numPr>
        <w:spacing w:line="240" w:lineRule="auto"/>
        <w:textAlignment w:val="auto"/>
        <w:rPr>
          <w:rFonts w:ascii="宋体" w:hAnsi="宋体"/>
          <w:sz w:val="21"/>
          <w:szCs w:val="21"/>
        </w:rPr>
      </w:pPr>
      <w:r>
        <w:rPr>
          <w:rFonts w:hint="eastAsia" w:ascii="宋体" w:hAnsi="宋体"/>
          <w:sz w:val="21"/>
          <w:szCs w:val="21"/>
        </w:rPr>
        <w:t>每一密封封套上应标明“在×× 年××月××日××时××分（磋商时间）前不准启封”等类似字样。</w:t>
      </w:r>
    </w:p>
    <w:p>
      <w:pPr>
        <w:pStyle w:val="146"/>
        <w:numPr>
          <w:ilvl w:val="1"/>
          <w:numId w:val="9"/>
        </w:numPr>
        <w:tabs>
          <w:tab w:val="left" w:pos="709"/>
          <w:tab w:val="clear" w:pos="1277"/>
        </w:tabs>
        <w:ind w:left="709"/>
        <w:textAlignment w:val="auto"/>
        <w:rPr>
          <w:spacing w:val="10"/>
        </w:rPr>
      </w:pPr>
      <w:r>
        <w:rPr>
          <w:rFonts w:hint="eastAsia"/>
          <w:spacing w:val="10"/>
        </w:rPr>
        <w:t>如果供应商未对“响应文件、电子响应文件、</w:t>
      </w:r>
      <w:r>
        <w:rPr>
          <w:rFonts w:hint="eastAsia"/>
        </w:rPr>
        <w:t>资格审查文件、</w:t>
      </w:r>
      <w:r>
        <w:rPr>
          <w:rFonts w:hint="eastAsia"/>
          <w:spacing w:val="10"/>
        </w:rPr>
        <w:t>报价一览表”按上述密封及标记，</w:t>
      </w:r>
      <w:r>
        <w:rPr>
          <w:rFonts w:hint="eastAsia"/>
        </w:rPr>
        <w:t>采购人或采购代理机构将</w:t>
      </w:r>
      <w:r>
        <w:rPr>
          <w:rFonts w:hint="eastAsia"/>
          <w:b/>
        </w:rPr>
        <w:t>拒绝接收</w:t>
      </w:r>
      <w:r>
        <w:rPr>
          <w:rFonts w:hint="eastAsia"/>
        </w:rPr>
        <w:t>。</w:t>
      </w:r>
      <w:r>
        <w:rPr>
          <w:rFonts w:hint="eastAsia"/>
          <w:lang w:val="zh-CN"/>
        </w:rPr>
        <w:t>（规定时间内允许补正）</w:t>
      </w:r>
    </w:p>
    <w:p>
      <w:pPr>
        <w:pStyle w:val="146"/>
        <w:numPr>
          <w:ilvl w:val="1"/>
          <w:numId w:val="9"/>
        </w:numPr>
        <w:tabs>
          <w:tab w:val="left" w:pos="709"/>
          <w:tab w:val="clear" w:pos="1277"/>
        </w:tabs>
        <w:ind w:left="709"/>
        <w:textAlignment w:val="auto"/>
        <w:rPr>
          <w:spacing w:val="10"/>
        </w:rPr>
      </w:pPr>
      <w:r>
        <w:rPr>
          <w:rFonts w:hint="eastAsia"/>
          <w:spacing w:val="10"/>
        </w:rPr>
        <w:t>供应商代表</w:t>
      </w:r>
      <w:r>
        <w:rPr>
          <w:rFonts w:hint="eastAsia"/>
          <w:bCs/>
          <w:spacing w:val="10"/>
        </w:rPr>
        <w:t>在递交响应文件的同时，须出示一份未封装的《法定代表人授权委托书》和委托代理人身份证原件</w:t>
      </w:r>
      <w:r>
        <w:rPr>
          <w:rFonts w:hint="eastAsia"/>
        </w:rPr>
        <w:t>（如由法定代表人递交应手持一份未封装的《法定代表人身份证明》和法定代表人身份证原件）。</w:t>
      </w:r>
      <w:r>
        <w:rPr>
          <w:rFonts w:hint="eastAsia"/>
          <w:bCs/>
          <w:spacing w:val="10"/>
        </w:rPr>
        <w:t>未按规定出示《法定代表人授权委托书》或《</w:t>
      </w:r>
      <w:r>
        <w:rPr>
          <w:rFonts w:hint="eastAsia"/>
        </w:rPr>
        <w:t>法定代表人身份证明</w:t>
      </w:r>
      <w:r>
        <w:rPr>
          <w:rFonts w:hint="eastAsia"/>
          <w:bCs/>
          <w:spacing w:val="10"/>
        </w:rPr>
        <w:t>》和身份证原件的供应商的</w:t>
      </w:r>
      <w:r>
        <w:rPr>
          <w:rFonts w:hint="eastAsia"/>
          <w:b/>
          <w:bCs/>
          <w:spacing w:val="10"/>
        </w:rPr>
        <w:t>响应文件将被拒绝</w:t>
      </w:r>
      <w:r>
        <w:rPr>
          <w:rFonts w:hint="eastAsia"/>
          <w:b/>
          <w:spacing w:val="10"/>
        </w:rPr>
        <w:t>。</w:t>
      </w:r>
      <w:r>
        <w:rPr>
          <w:rFonts w:hint="eastAsia"/>
          <w:lang w:val="zh-CN"/>
        </w:rPr>
        <w:t>（规定时间内允许补正）</w:t>
      </w:r>
    </w:p>
    <w:p>
      <w:pPr>
        <w:pStyle w:val="146"/>
        <w:tabs>
          <w:tab w:val="left" w:pos="709"/>
        </w:tabs>
        <w:ind w:left="709"/>
        <w:textAlignment w:val="auto"/>
        <w:rPr>
          <w:spacing w:val="10"/>
        </w:rPr>
      </w:pPr>
      <w:r>
        <w:rPr>
          <w:rFonts w:hint="eastAsia"/>
          <w:bCs/>
          <w:spacing w:val="10"/>
        </w:rPr>
        <w:t>未封装的《法定代表人授权委托书》须与供应商提交的响应文件内的《法定代表人授权委托书》一致，</w:t>
      </w:r>
      <w:r>
        <w:rPr>
          <w:rFonts w:hint="eastAsia"/>
        </w:rPr>
        <w:t>若供应商提供的不一致，其</w:t>
      </w:r>
      <w:r>
        <w:rPr>
          <w:rFonts w:hint="eastAsia"/>
          <w:b/>
        </w:rPr>
        <w:t>响应将被否绝</w:t>
      </w:r>
      <w:r>
        <w:rPr>
          <w:rFonts w:hint="eastAsia"/>
        </w:rPr>
        <w:t>。</w:t>
      </w:r>
    </w:p>
    <w:p>
      <w:pPr>
        <w:pStyle w:val="146"/>
        <w:numPr>
          <w:ilvl w:val="1"/>
          <w:numId w:val="9"/>
        </w:numPr>
        <w:tabs>
          <w:tab w:val="left" w:pos="709"/>
        </w:tabs>
        <w:ind w:left="709"/>
        <w:textAlignment w:val="auto"/>
        <w:rPr>
          <w:spacing w:val="10"/>
        </w:rPr>
      </w:pPr>
      <w:r>
        <w:rPr>
          <w:rFonts w:hint="eastAsia"/>
          <w:spacing w:val="10"/>
        </w:rPr>
        <w:t>供应商应保证公司名称、公章和其授权的供应商代表的唯一性，若响应文件与报名文件公司名称、公章及其授权的供应商代表不一致，其响应文件将</w:t>
      </w:r>
      <w:r>
        <w:rPr>
          <w:rFonts w:hint="eastAsia"/>
          <w:b/>
          <w:spacing w:val="10"/>
        </w:rPr>
        <w:t>被拒绝</w:t>
      </w:r>
      <w:r>
        <w:rPr>
          <w:rFonts w:hint="eastAsia"/>
          <w:spacing w:val="10"/>
        </w:rPr>
        <w:t>。（规定时间内允许补正）</w:t>
      </w:r>
    </w:p>
    <w:p>
      <w:pPr>
        <w:pStyle w:val="146"/>
        <w:numPr>
          <w:ilvl w:val="1"/>
          <w:numId w:val="9"/>
        </w:numPr>
        <w:tabs>
          <w:tab w:val="left" w:pos="709"/>
        </w:tabs>
        <w:ind w:left="709"/>
        <w:textAlignment w:val="auto"/>
        <w:rPr>
          <w:spacing w:val="10"/>
        </w:rPr>
      </w:pPr>
      <w:r>
        <w:rPr>
          <w:rFonts w:hint="eastAsia"/>
          <w:spacing w:val="10"/>
        </w:rPr>
        <w:t>如果供应商未按上述要求对响应文件密封及加写标记，采购人或采购代理机构</w:t>
      </w:r>
      <w:r>
        <w:rPr>
          <w:rFonts w:hint="eastAsia"/>
          <w:b/>
          <w:spacing w:val="10"/>
        </w:rPr>
        <w:t>将拒绝接收</w:t>
      </w:r>
      <w:r>
        <w:rPr>
          <w:rFonts w:hint="eastAsia"/>
          <w:spacing w:val="10"/>
        </w:rPr>
        <w:t>。（规定时间内允许补正）</w:t>
      </w:r>
    </w:p>
    <w:p>
      <w:pPr>
        <w:pStyle w:val="146"/>
        <w:tabs>
          <w:tab w:val="left" w:pos="709"/>
          <w:tab w:val="left" w:pos="1277"/>
        </w:tabs>
        <w:ind w:left="709"/>
        <w:textAlignment w:val="auto"/>
        <w:rPr>
          <w:spacing w:val="10"/>
        </w:rPr>
      </w:pPr>
    </w:p>
    <w:p>
      <w:pPr>
        <w:pStyle w:val="146"/>
        <w:numPr>
          <w:ilvl w:val="0"/>
          <w:numId w:val="9"/>
        </w:numPr>
        <w:tabs>
          <w:tab w:val="left" w:pos="0"/>
          <w:tab w:val="clear" w:pos="2553"/>
        </w:tabs>
        <w:ind w:left="0" w:firstLine="0"/>
        <w:textAlignment w:val="auto"/>
      </w:pPr>
      <w:r>
        <w:rPr>
          <w:rFonts w:hint="eastAsia"/>
        </w:rPr>
        <w:t>响应截止时间</w:t>
      </w:r>
    </w:p>
    <w:p>
      <w:pPr>
        <w:pStyle w:val="146"/>
        <w:numPr>
          <w:ilvl w:val="1"/>
          <w:numId w:val="9"/>
        </w:numPr>
        <w:tabs>
          <w:tab w:val="left" w:pos="709"/>
        </w:tabs>
        <w:ind w:left="709"/>
        <w:textAlignment w:val="auto"/>
        <w:rPr>
          <w:spacing w:val="10"/>
        </w:rPr>
      </w:pPr>
      <w:r>
        <w:rPr>
          <w:rFonts w:hint="eastAsia"/>
          <w:spacing w:val="10"/>
        </w:rPr>
        <w:t>响应文件须按照磋商文件规定的响应时间、地点送达。在响应截止时间以后送达的响应文件，采购人或采购代理机构</w:t>
      </w:r>
      <w:r>
        <w:rPr>
          <w:rFonts w:hint="eastAsia"/>
          <w:b/>
          <w:spacing w:val="10"/>
        </w:rPr>
        <w:t>拒绝接收</w:t>
      </w:r>
      <w:r>
        <w:rPr>
          <w:rFonts w:hint="eastAsia"/>
          <w:spacing w:val="10"/>
        </w:rPr>
        <w:t>。</w:t>
      </w:r>
    </w:p>
    <w:p>
      <w:pPr>
        <w:pStyle w:val="146"/>
        <w:tabs>
          <w:tab w:val="left" w:pos="709"/>
          <w:tab w:val="left" w:pos="1277"/>
        </w:tabs>
        <w:ind w:left="709"/>
        <w:textAlignment w:val="auto"/>
        <w:rPr>
          <w:spacing w:val="10"/>
        </w:rPr>
      </w:pPr>
    </w:p>
    <w:p>
      <w:pPr>
        <w:pStyle w:val="146"/>
        <w:numPr>
          <w:ilvl w:val="0"/>
          <w:numId w:val="9"/>
        </w:numPr>
        <w:tabs>
          <w:tab w:val="left" w:pos="0"/>
          <w:tab w:val="clear" w:pos="2553"/>
        </w:tabs>
        <w:ind w:left="0" w:firstLine="0"/>
        <w:textAlignment w:val="auto"/>
      </w:pPr>
      <w:r>
        <w:rPr>
          <w:rFonts w:hint="eastAsia"/>
        </w:rPr>
        <w:t>响应文件的补充、修改和撤回</w:t>
      </w:r>
    </w:p>
    <w:p>
      <w:pPr>
        <w:pStyle w:val="146"/>
        <w:numPr>
          <w:ilvl w:val="1"/>
          <w:numId w:val="9"/>
        </w:numPr>
        <w:tabs>
          <w:tab w:val="left" w:pos="709"/>
        </w:tabs>
        <w:ind w:left="709"/>
        <w:textAlignment w:val="auto"/>
        <w:rPr>
          <w:spacing w:val="10"/>
        </w:rPr>
      </w:pPr>
      <w:r>
        <w:rPr>
          <w:rFonts w:hint="eastAsia"/>
          <w:spacing w:val="10"/>
        </w:rPr>
        <w:t>供应商可以在响应截止时间前，对所递交的响应文件进行补充、修改或者撤回，并以书面形式通知采购人或者采购代理机构。补充、修改的内容作为响应文件的组成部分。补充、修改的内容与响应文件不一致的，以补充、修改的内容为准。</w:t>
      </w:r>
    </w:p>
    <w:p>
      <w:pPr>
        <w:pStyle w:val="146"/>
        <w:numPr>
          <w:ilvl w:val="1"/>
          <w:numId w:val="9"/>
        </w:numPr>
        <w:tabs>
          <w:tab w:val="left" w:pos="709"/>
          <w:tab w:val="clear" w:pos="1277"/>
        </w:tabs>
        <w:ind w:left="709"/>
        <w:textAlignment w:val="auto"/>
        <w:rPr>
          <w:spacing w:val="10"/>
        </w:rPr>
      </w:pPr>
      <w:r>
        <w:rPr>
          <w:rFonts w:hint="eastAsia"/>
          <w:spacing w:val="10"/>
        </w:rPr>
        <w:t>供应商撤回响应的要求应由供应商法定代表人或其授权的供应商代表签字、盖章。补充、修改响应文件的书面材料，应当按照磋商文件要求签字、盖章、密封后送达采购人或采购代理机构。补充、修改响应文件的书面材料应单独密封包装，并在封套上标明</w:t>
      </w:r>
      <w:r>
        <w:rPr>
          <w:rFonts w:hint="eastAsia"/>
        </w:rPr>
        <w:t>“项目名称、项目编号、供应商名称及</w:t>
      </w:r>
      <w:r>
        <w:rPr>
          <w:rFonts w:hint="eastAsia"/>
          <w:spacing w:val="10"/>
        </w:rPr>
        <w:t>补充、修改响应文件和磋商时启封”等字样。</w:t>
      </w:r>
    </w:p>
    <w:p>
      <w:pPr>
        <w:pStyle w:val="146"/>
        <w:numPr>
          <w:ilvl w:val="1"/>
          <w:numId w:val="9"/>
        </w:numPr>
        <w:tabs>
          <w:tab w:val="left" w:pos="709"/>
        </w:tabs>
        <w:ind w:left="709"/>
        <w:textAlignment w:val="auto"/>
        <w:rPr>
          <w:spacing w:val="10"/>
        </w:rPr>
      </w:pPr>
      <w:r>
        <w:rPr>
          <w:rFonts w:hint="eastAsia"/>
          <w:spacing w:val="10"/>
        </w:rPr>
        <w:t>在响应截止时间之后，供应商不得撤回响应。</w:t>
      </w:r>
    </w:p>
    <w:p>
      <w:pPr>
        <w:pStyle w:val="146"/>
        <w:tabs>
          <w:tab w:val="left" w:pos="709"/>
        </w:tabs>
        <w:textAlignment w:val="auto"/>
      </w:pPr>
    </w:p>
    <w:p>
      <w:pPr>
        <w:pStyle w:val="6"/>
      </w:pPr>
      <w:r>
        <w:rPr>
          <w:rFonts w:hint="eastAsia"/>
        </w:rPr>
        <w:t>五、磋商步骤和要求</w:t>
      </w:r>
    </w:p>
    <w:p>
      <w:pPr>
        <w:pStyle w:val="146"/>
        <w:numPr>
          <w:ilvl w:val="0"/>
          <w:numId w:val="9"/>
        </w:numPr>
        <w:tabs>
          <w:tab w:val="left" w:pos="0"/>
          <w:tab w:val="clear" w:pos="2553"/>
        </w:tabs>
        <w:ind w:left="0" w:firstLine="0"/>
        <w:textAlignment w:val="auto"/>
      </w:pPr>
      <w:r>
        <w:rPr>
          <w:rFonts w:hint="eastAsia"/>
        </w:rPr>
        <w:t>组建磋商小组</w:t>
      </w:r>
    </w:p>
    <w:p>
      <w:pPr>
        <w:pStyle w:val="146"/>
        <w:numPr>
          <w:ilvl w:val="1"/>
          <w:numId w:val="9"/>
        </w:numPr>
        <w:tabs>
          <w:tab w:val="left" w:pos="709"/>
        </w:tabs>
        <w:ind w:left="709"/>
        <w:textAlignment w:val="auto"/>
      </w:pPr>
      <w:r>
        <w:rPr>
          <w:rFonts w:hint="eastAsia"/>
        </w:rPr>
        <w:t>采购人或采购代理机构根据有关法律法规和本磋商文件的规定，结合本磋商项目的特点组建磋商小组，对具备实质性响应的响应文件进行评估和比较。磋商小组由采购人代表和评审专家共3人以上单数组成，其中评审专家人数不得少于磋商小组成员总数的2/3。</w:t>
      </w:r>
    </w:p>
    <w:p>
      <w:pPr>
        <w:pStyle w:val="146"/>
        <w:numPr>
          <w:ilvl w:val="1"/>
          <w:numId w:val="9"/>
        </w:numPr>
        <w:tabs>
          <w:tab w:val="left" w:pos="709"/>
        </w:tabs>
        <w:ind w:left="709"/>
        <w:textAlignment w:val="auto"/>
      </w:pPr>
      <w:r>
        <w:rPr>
          <w:rFonts w:hint="eastAsia"/>
        </w:rPr>
        <w:t>评审专家应从专家库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磋商项目，评审专家中应当包含1名法律专家。</w:t>
      </w:r>
    </w:p>
    <w:p>
      <w:pPr>
        <w:pStyle w:val="146"/>
        <w:tabs>
          <w:tab w:val="left" w:pos="420"/>
        </w:tabs>
      </w:pPr>
    </w:p>
    <w:p>
      <w:pPr>
        <w:pStyle w:val="146"/>
        <w:numPr>
          <w:ilvl w:val="0"/>
          <w:numId w:val="9"/>
        </w:numPr>
        <w:tabs>
          <w:tab w:val="left" w:pos="0"/>
          <w:tab w:val="clear" w:pos="2553"/>
        </w:tabs>
        <w:ind w:left="0" w:firstLine="0"/>
        <w:textAlignment w:val="auto"/>
      </w:pPr>
      <w:r>
        <w:rPr>
          <w:rFonts w:hint="eastAsia"/>
        </w:rPr>
        <w:t>磋商准备与初步评审</w:t>
      </w:r>
    </w:p>
    <w:p>
      <w:pPr>
        <w:pStyle w:val="146"/>
        <w:numPr>
          <w:ilvl w:val="1"/>
          <w:numId w:val="9"/>
        </w:numPr>
        <w:tabs>
          <w:tab w:val="left" w:pos="709"/>
        </w:tabs>
        <w:snapToGrid w:val="0"/>
        <w:ind w:left="709"/>
        <w:textAlignment w:val="auto"/>
      </w:pPr>
      <w:r>
        <w:rPr>
          <w:rFonts w:hint="eastAsia"/>
        </w:rPr>
        <w:t>磋</w:t>
      </w:r>
      <w:r>
        <w:rPr>
          <w:rFonts w:hint="eastAsia"/>
          <w:spacing w:val="14"/>
        </w:rPr>
        <w:t>商小组所有成员应当集中与单一供应商分别进行磋商，并给予所有参加磋商的供应商平等的磋商机会</w:t>
      </w:r>
      <w:r>
        <w:rPr>
          <w:rFonts w:hint="eastAsia"/>
        </w:rPr>
        <w:t>。</w:t>
      </w:r>
    </w:p>
    <w:p>
      <w:pPr>
        <w:pStyle w:val="146"/>
        <w:numPr>
          <w:ilvl w:val="1"/>
          <w:numId w:val="9"/>
        </w:numPr>
        <w:tabs>
          <w:tab w:val="left" w:pos="709"/>
        </w:tabs>
        <w:snapToGrid w:val="0"/>
        <w:ind w:left="709"/>
        <w:textAlignment w:val="auto"/>
      </w:pPr>
      <w:r>
        <w:rPr>
          <w:rFonts w:hint="eastAsia"/>
        </w:rPr>
        <w:t>响</w:t>
      </w:r>
      <w:r>
        <w:rPr>
          <w:rFonts w:hint="eastAsia"/>
          <w:spacing w:val="14"/>
        </w:rPr>
        <w:t>应截止时间后，磋商小组将审查响应文件是否符合磋商文件的基本要求：内容是否完整、资格证明文件是否齐全、清晰；有无计算错误、文件签署是否齐全等</w:t>
      </w:r>
      <w:r>
        <w:rPr>
          <w:rFonts w:hint="eastAsia"/>
        </w:rPr>
        <w:t>。</w:t>
      </w:r>
    </w:p>
    <w:p>
      <w:pPr>
        <w:pStyle w:val="146"/>
        <w:numPr>
          <w:ilvl w:val="1"/>
          <w:numId w:val="9"/>
        </w:numPr>
        <w:tabs>
          <w:tab w:val="left" w:pos="709"/>
        </w:tabs>
        <w:snapToGrid w:val="0"/>
        <w:ind w:left="709"/>
        <w:textAlignment w:val="auto"/>
      </w:pPr>
      <w:r>
        <w:rPr>
          <w:rFonts w:hint="eastAsia"/>
        </w:rPr>
        <w:t>在</w:t>
      </w:r>
      <w:r>
        <w:rPr>
          <w:rFonts w:hint="eastAsia"/>
          <w:spacing w:val="14"/>
        </w:rPr>
        <w:t>详细评审之前，磋商小组要审查每份响应文件是否实质上响应了磋商文件的要求，</w:t>
      </w:r>
      <w:r>
        <w:rPr>
          <w:rFonts w:hint="eastAsia"/>
          <w:b/>
          <w:spacing w:val="14"/>
        </w:rPr>
        <w:t>没有实质性响应磋商文件要求的响应将被磋商小组否决</w:t>
      </w:r>
      <w:r>
        <w:rPr>
          <w:rFonts w:hint="eastAsia"/>
          <w:b/>
        </w:rPr>
        <w:t>。</w:t>
      </w:r>
    </w:p>
    <w:p>
      <w:pPr>
        <w:numPr>
          <w:ilvl w:val="0"/>
          <w:numId w:val="14"/>
        </w:numPr>
        <w:snapToGrid w:val="0"/>
        <w:spacing w:line="240" w:lineRule="auto"/>
        <w:textAlignment w:val="auto"/>
        <w:rPr>
          <w:rFonts w:ascii="宋体" w:hAnsi="宋体"/>
          <w:sz w:val="21"/>
          <w:szCs w:val="21"/>
        </w:rPr>
      </w:pPr>
      <w:r>
        <w:rPr>
          <w:rFonts w:hint="eastAsia" w:ascii="宋体" w:hAnsi="宋体"/>
          <w:sz w:val="21"/>
          <w:szCs w:val="21"/>
        </w:rPr>
        <w:t>实</w:t>
      </w:r>
      <w:r>
        <w:rPr>
          <w:rFonts w:hint="eastAsia" w:ascii="宋体" w:hAnsi="宋体"/>
          <w:spacing w:val="14"/>
          <w:sz w:val="21"/>
          <w:szCs w:val="21"/>
        </w:rPr>
        <w:t>质上响应的响应是指与磋商文件的主要条款、条件相符，没有重大偏离或保留</w:t>
      </w:r>
      <w:r>
        <w:rPr>
          <w:rFonts w:hint="eastAsia" w:ascii="宋体" w:hAnsi="宋体"/>
          <w:sz w:val="21"/>
          <w:szCs w:val="21"/>
        </w:rPr>
        <w:t>。</w:t>
      </w:r>
    </w:p>
    <w:p>
      <w:pPr>
        <w:numPr>
          <w:ilvl w:val="0"/>
          <w:numId w:val="14"/>
        </w:numPr>
        <w:snapToGrid w:val="0"/>
        <w:spacing w:line="240" w:lineRule="auto"/>
        <w:textAlignment w:val="auto"/>
        <w:rPr>
          <w:rFonts w:ascii="宋体" w:hAnsi="宋体"/>
          <w:sz w:val="21"/>
          <w:szCs w:val="21"/>
        </w:rPr>
      </w:pPr>
      <w:r>
        <w:rPr>
          <w:rFonts w:hint="eastAsia" w:ascii="宋体" w:hAnsi="宋体"/>
          <w:sz w:val="21"/>
          <w:szCs w:val="21"/>
        </w:rPr>
        <w:t>重</w:t>
      </w:r>
      <w:r>
        <w:rPr>
          <w:rFonts w:hint="eastAsia" w:ascii="宋体" w:hAnsi="宋体"/>
          <w:spacing w:val="10"/>
          <w:sz w:val="21"/>
          <w:szCs w:val="21"/>
        </w:rPr>
        <w:t>大偏离或保留系指响应产品的服务等明显不能满足磋商文件的要求，或者实质上与磋商文件不一致，而且限制了采购人的权利或供应商的义务，纠正这些偏离或保留将对其他实质上响应要求的供应商的竞争地位产生不公正的影响。</w:t>
      </w:r>
    </w:p>
    <w:p>
      <w:pPr>
        <w:numPr>
          <w:ilvl w:val="0"/>
          <w:numId w:val="14"/>
        </w:numPr>
        <w:snapToGrid w:val="0"/>
        <w:spacing w:line="240" w:lineRule="auto"/>
        <w:textAlignment w:val="auto"/>
        <w:rPr>
          <w:rFonts w:ascii="宋体" w:hAnsi="宋体"/>
          <w:sz w:val="21"/>
          <w:szCs w:val="21"/>
        </w:rPr>
      </w:pPr>
      <w:r>
        <w:rPr>
          <w:rFonts w:hint="eastAsia" w:ascii="宋体" w:hAnsi="宋体"/>
          <w:sz w:val="21"/>
          <w:szCs w:val="21"/>
        </w:rPr>
        <w:t>重</w:t>
      </w:r>
      <w:r>
        <w:rPr>
          <w:rFonts w:hint="eastAsia" w:ascii="宋体" w:hAnsi="宋体"/>
          <w:spacing w:val="6"/>
          <w:sz w:val="21"/>
          <w:szCs w:val="21"/>
        </w:rPr>
        <w:t>大偏离不允许在响应截止时间后修正，但磋商小组将允许修正响应中不构成重大偏离的地方，这些修正不会对其他实质上响应磋商文件要求的供应商的竞争地位产生不公正的影响</w:t>
      </w:r>
      <w:r>
        <w:rPr>
          <w:rFonts w:hint="eastAsia" w:ascii="宋体" w:hAnsi="宋体"/>
          <w:sz w:val="21"/>
          <w:szCs w:val="21"/>
        </w:rPr>
        <w:t>。</w:t>
      </w:r>
    </w:p>
    <w:p>
      <w:pPr>
        <w:numPr>
          <w:ilvl w:val="0"/>
          <w:numId w:val="14"/>
        </w:numPr>
        <w:snapToGrid w:val="0"/>
        <w:spacing w:line="240" w:lineRule="auto"/>
        <w:textAlignment w:val="auto"/>
        <w:rPr>
          <w:rFonts w:ascii="宋体" w:hAnsi="宋体"/>
          <w:sz w:val="21"/>
          <w:szCs w:val="21"/>
        </w:rPr>
      </w:pPr>
      <w:r>
        <w:rPr>
          <w:rFonts w:hint="eastAsia" w:ascii="宋体" w:hAnsi="宋体"/>
          <w:sz w:val="21"/>
          <w:szCs w:val="21"/>
        </w:rPr>
        <w:t>如</w:t>
      </w:r>
      <w:r>
        <w:rPr>
          <w:rFonts w:hint="eastAsia" w:ascii="宋体" w:hAnsi="宋体"/>
          <w:spacing w:val="6"/>
          <w:sz w:val="21"/>
          <w:szCs w:val="21"/>
        </w:rPr>
        <w:t>果响应文件实质上没有响应磋商文件的要求，磋商小组将</w:t>
      </w:r>
      <w:r>
        <w:rPr>
          <w:rFonts w:hint="eastAsia" w:ascii="宋体" w:hAnsi="宋体"/>
          <w:b/>
          <w:spacing w:val="6"/>
          <w:sz w:val="21"/>
          <w:szCs w:val="21"/>
        </w:rPr>
        <w:t>予以拒绝</w:t>
      </w:r>
      <w:r>
        <w:rPr>
          <w:rFonts w:hint="eastAsia" w:ascii="宋体" w:hAnsi="宋体"/>
          <w:spacing w:val="6"/>
          <w:sz w:val="21"/>
          <w:szCs w:val="21"/>
        </w:rPr>
        <w:t>，供应商不得再对响应文件进行任何修正从而使其响应成为实质上响应的响应</w:t>
      </w:r>
      <w:r>
        <w:rPr>
          <w:rFonts w:hint="eastAsia" w:ascii="宋体" w:hAnsi="宋体"/>
          <w:sz w:val="21"/>
          <w:szCs w:val="21"/>
        </w:rPr>
        <w:t>。</w:t>
      </w:r>
    </w:p>
    <w:p>
      <w:pPr>
        <w:pStyle w:val="146"/>
        <w:numPr>
          <w:ilvl w:val="1"/>
          <w:numId w:val="9"/>
        </w:numPr>
        <w:tabs>
          <w:tab w:val="left" w:pos="709"/>
        </w:tabs>
        <w:snapToGrid w:val="0"/>
        <w:ind w:left="709"/>
        <w:textAlignment w:val="auto"/>
      </w:pPr>
      <w:r>
        <w:rPr>
          <w:rFonts w:hint="eastAsia"/>
        </w:rPr>
        <w:t>响</w:t>
      </w:r>
      <w:r>
        <w:rPr>
          <w:rFonts w:hint="eastAsia"/>
          <w:spacing w:val="6"/>
        </w:rPr>
        <w:t>应</w:t>
      </w:r>
      <w:r>
        <w:rPr>
          <w:spacing w:val="6"/>
        </w:rPr>
        <w:t>文件</w:t>
      </w:r>
      <w:r>
        <w:rPr>
          <w:rFonts w:hint="eastAsia"/>
          <w:spacing w:val="6"/>
        </w:rPr>
        <w:t>的</w:t>
      </w:r>
      <w:r>
        <w:rPr>
          <w:spacing w:val="6"/>
        </w:rPr>
        <w:t>细微偏差是指在实质上响应</w:t>
      </w:r>
      <w:r>
        <w:rPr>
          <w:rFonts w:hint="eastAsia"/>
          <w:spacing w:val="6"/>
        </w:rPr>
        <w:t>磋商</w:t>
      </w:r>
      <w:r>
        <w:rPr>
          <w:spacing w:val="6"/>
        </w:rPr>
        <w:t>文件要求，但在个别地方存在漏项或者提供了不完整的技术信息和数据等情况，并且补正这些遗漏或者不完整不会对其他</w:t>
      </w:r>
      <w:r>
        <w:rPr>
          <w:rFonts w:hint="eastAsia"/>
          <w:spacing w:val="6"/>
        </w:rPr>
        <w:t>供应商</w:t>
      </w:r>
      <w:r>
        <w:rPr>
          <w:spacing w:val="6"/>
        </w:rPr>
        <w:t>造成不公平的结果。细微偏差不影响</w:t>
      </w:r>
      <w:r>
        <w:rPr>
          <w:rFonts w:hint="eastAsia"/>
          <w:spacing w:val="6"/>
        </w:rPr>
        <w:t>响应</w:t>
      </w:r>
      <w:r>
        <w:rPr>
          <w:spacing w:val="6"/>
        </w:rPr>
        <w:t>文件的有效性</w:t>
      </w:r>
      <w:r>
        <w:t>。</w:t>
      </w:r>
    </w:p>
    <w:p>
      <w:pPr>
        <w:pStyle w:val="146"/>
        <w:numPr>
          <w:ilvl w:val="1"/>
          <w:numId w:val="9"/>
        </w:numPr>
        <w:tabs>
          <w:tab w:val="left" w:pos="709"/>
        </w:tabs>
        <w:snapToGrid w:val="0"/>
        <w:ind w:left="709"/>
        <w:textAlignment w:val="auto"/>
      </w:pPr>
      <w:r>
        <w:rPr>
          <w:rFonts w:hint="eastAsia"/>
        </w:rPr>
        <w:t>初</w:t>
      </w:r>
      <w:r>
        <w:rPr>
          <w:rFonts w:hint="eastAsia"/>
          <w:spacing w:val="6"/>
        </w:rPr>
        <w:t>审中，对明显的文字和计算错误按下述原则处理，若出现相互矛盾之处，应以排列在先的原则为准优先处理</w:t>
      </w:r>
      <w:r>
        <w:rPr>
          <w:rFonts w:hint="eastAsia"/>
        </w:rPr>
        <w:t>：</w:t>
      </w:r>
    </w:p>
    <w:p>
      <w:pPr>
        <w:numPr>
          <w:ilvl w:val="0"/>
          <w:numId w:val="15"/>
        </w:numPr>
        <w:snapToGrid w:val="0"/>
        <w:spacing w:line="240" w:lineRule="auto"/>
        <w:textAlignment w:val="auto"/>
        <w:rPr>
          <w:rFonts w:ascii="宋体" w:hAnsi="宋体"/>
          <w:sz w:val="21"/>
          <w:szCs w:val="21"/>
        </w:rPr>
      </w:pPr>
      <w:r>
        <w:rPr>
          <w:rFonts w:hint="eastAsia" w:ascii="宋体" w:hAnsi="宋体"/>
          <w:sz w:val="21"/>
          <w:szCs w:val="21"/>
        </w:rPr>
        <w:t>如果响应文件正本的内容与副本或电子文档不一致，以正本为准。报价一览表与响应文件正本报价一览表不一致的，以报价一览表为准。</w:t>
      </w:r>
    </w:p>
    <w:p>
      <w:pPr>
        <w:numPr>
          <w:ilvl w:val="0"/>
          <w:numId w:val="15"/>
        </w:numPr>
        <w:snapToGrid w:val="0"/>
        <w:spacing w:line="240" w:lineRule="auto"/>
        <w:textAlignment w:val="auto"/>
        <w:rPr>
          <w:rFonts w:ascii="宋体" w:hAnsi="宋体"/>
          <w:sz w:val="21"/>
          <w:szCs w:val="21"/>
        </w:rPr>
      </w:pPr>
      <w:r>
        <w:rPr>
          <w:rFonts w:hint="eastAsia" w:ascii="宋体" w:hAnsi="宋体"/>
          <w:sz w:val="21"/>
          <w:szCs w:val="21"/>
        </w:rPr>
        <w:t>大写金额和小写金额不一致的，以大写金额为准，但大写金额文字存在错误的，应当先对大写金额的文字错误进行澄清、说明或者更正，再行修正。</w:t>
      </w:r>
    </w:p>
    <w:p>
      <w:pPr>
        <w:numPr>
          <w:ilvl w:val="0"/>
          <w:numId w:val="15"/>
        </w:numPr>
        <w:snapToGrid w:val="0"/>
        <w:spacing w:line="240" w:lineRule="auto"/>
        <w:textAlignment w:val="auto"/>
        <w:rPr>
          <w:rFonts w:ascii="宋体" w:hAnsi="宋体"/>
          <w:sz w:val="21"/>
          <w:szCs w:val="21"/>
        </w:rPr>
      </w:pPr>
      <w:r>
        <w:rPr>
          <w:rFonts w:hint="eastAsia" w:ascii="宋体" w:hAnsi="宋体"/>
          <w:sz w:val="21"/>
          <w:szCs w:val="21"/>
        </w:rPr>
        <w:t>单价金额小数点或者百分比有明显错位的，以报价一览表的总价为准，修正单价。</w:t>
      </w:r>
    </w:p>
    <w:p>
      <w:pPr>
        <w:numPr>
          <w:ilvl w:val="0"/>
          <w:numId w:val="15"/>
        </w:numPr>
        <w:snapToGrid w:val="0"/>
        <w:spacing w:line="240" w:lineRule="auto"/>
        <w:textAlignment w:val="auto"/>
        <w:rPr>
          <w:rFonts w:ascii="宋体" w:hAnsi="宋体"/>
          <w:sz w:val="21"/>
          <w:szCs w:val="21"/>
        </w:rPr>
      </w:pPr>
      <w:r>
        <w:rPr>
          <w:rFonts w:hint="eastAsia" w:ascii="宋体" w:hAnsi="宋体"/>
          <w:sz w:val="21"/>
          <w:szCs w:val="21"/>
        </w:rPr>
        <w:t>总价金额与按单价汇总金额不一致的，以单价金额计算结果为准，但单价或者单价汇总金额存在数字或者文字错误的，应当先对数字或者文字错误进行澄清、说明或者更正，再行修正。</w:t>
      </w:r>
    </w:p>
    <w:p>
      <w:pPr>
        <w:numPr>
          <w:ilvl w:val="0"/>
          <w:numId w:val="15"/>
        </w:numPr>
        <w:snapToGrid w:val="0"/>
        <w:spacing w:line="240" w:lineRule="auto"/>
        <w:textAlignment w:val="auto"/>
        <w:rPr>
          <w:rFonts w:ascii="宋体" w:hAnsi="宋体"/>
          <w:sz w:val="21"/>
          <w:szCs w:val="21"/>
        </w:rPr>
      </w:pPr>
      <w:r>
        <w:rPr>
          <w:rFonts w:hint="eastAsia" w:ascii="宋体" w:hAnsi="宋体"/>
          <w:sz w:val="21"/>
          <w:szCs w:val="21"/>
        </w:rPr>
        <w:t>调整后的数据应对供应商具有约束力，供应商不同意以上修正，其</w:t>
      </w:r>
      <w:r>
        <w:rPr>
          <w:rFonts w:hint="eastAsia" w:ascii="宋体" w:hAnsi="宋体"/>
          <w:b/>
          <w:sz w:val="21"/>
          <w:szCs w:val="21"/>
        </w:rPr>
        <w:t>响应将被拒绝</w:t>
      </w:r>
      <w:r>
        <w:rPr>
          <w:rFonts w:hint="eastAsia" w:ascii="宋体" w:hAnsi="宋体"/>
          <w:sz w:val="21"/>
          <w:szCs w:val="21"/>
        </w:rPr>
        <w:t>。</w:t>
      </w:r>
    </w:p>
    <w:p>
      <w:pPr>
        <w:pStyle w:val="146"/>
        <w:numPr>
          <w:ilvl w:val="1"/>
          <w:numId w:val="9"/>
        </w:numPr>
        <w:tabs>
          <w:tab w:val="left" w:pos="709"/>
        </w:tabs>
        <w:snapToGrid w:val="0"/>
        <w:ind w:left="709"/>
        <w:textAlignment w:val="auto"/>
      </w:pPr>
      <w:r>
        <w:rPr>
          <w:rFonts w:hint="eastAsia"/>
        </w:rPr>
        <w:t>磋商小组对响应文件的判定，只依据响应文件内容本身，不依据任何外来证明。</w:t>
      </w:r>
    </w:p>
    <w:p>
      <w:pPr>
        <w:spacing w:line="240" w:lineRule="auto"/>
        <w:rPr>
          <w:rFonts w:ascii="宋体" w:hAnsi="宋体"/>
          <w:sz w:val="21"/>
          <w:szCs w:val="21"/>
        </w:rPr>
      </w:pPr>
    </w:p>
    <w:p>
      <w:pPr>
        <w:pStyle w:val="146"/>
        <w:numPr>
          <w:ilvl w:val="0"/>
          <w:numId w:val="9"/>
        </w:numPr>
        <w:tabs>
          <w:tab w:val="left" w:pos="0"/>
          <w:tab w:val="clear" w:pos="2553"/>
        </w:tabs>
        <w:ind w:left="0" w:firstLine="0"/>
        <w:textAlignment w:val="auto"/>
      </w:pPr>
      <w:r>
        <w:rPr>
          <w:rFonts w:hint="eastAsia"/>
        </w:rPr>
        <w:t>响应的澄清</w:t>
      </w:r>
    </w:p>
    <w:p>
      <w:pPr>
        <w:pStyle w:val="146"/>
        <w:numPr>
          <w:ilvl w:val="1"/>
          <w:numId w:val="9"/>
        </w:numPr>
        <w:tabs>
          <w:tab w:val="left" w:pos="709"/>
        </w:tabs>
        <w:ind w:left="709"/>
        <w:textAlignment w:val="auto"/>
        <w:rPr>
          <w:spacing w:val="10"/>
        </w:rPr>
      </w:pPr>
      <w:r>
        <w:rPr>
          <w:spacing w:val="10"/>
        </w:rPr>
        <w:t>磋商小组在对响应文件的有效性、</w:t>
      </w:r>
      <w:r>
        <w:rPr>
          <w:rFonts w:hint="eastAsia"/>
          <w:spacing w:val="10"/>
        </w:rPr>
        <w:t>清晰性、</w:t>
      </w:r>
      <w:r>
        <w:rPr>
          <w:spacing w:val="10"/>
        </w:rPr>
        <w:t>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r>
        <w:rPr>
          <w:rFonts w:hint="eastAsia"/>
          <w:spacing w:val="10"/>
        </w:rPr>
        <w:t>，并由磋商小组签字</w:t>
      </w:r>
      <w:r>
        <w:rPr>
          <w:spacing w:val="10"/>
        </w:rPr>
        <w:t>。供应商的澄清、说明或者更正应当由法定代表人</w:t>
      </w:r>
      <w:r>
        <w:rPr>
          <w:rFonts w:hint="eastAsia" w:cs="宋体"/>
          <w:lang w:bidi="ar"/>
        </w:rPr>
        <w:t>或其授权代表签字或者加盖公章</w:t>
      </w:r>
      <w:r>
        <w:rPr>
          <w:spacing w:val="10"/>
        </w:rPr>
        <w:t>。由</w:t>
      </w:r>
      <w:r>
        <w:rPr>
          <w:rFonts w:hint="eastAsia" w:cs="宋体"/>
          <w:lang w:bidi="ar"/>
        </w:rPr>
        <w:t>授权代表</w:t>
      </w:r>
      <w:r>
        <w:rPr>
          <w:spacing w:val="10"/>
        </w:rPr>
        <w:t>签字的，应当附</w:t>
      </w:r>
      <w:r>
        <w:rPr>
          <w:rFonts w:hint="eastAsia"/>
          <w:spacing w:val="10"/>
        </w:rPr>
        <w:t>《</w:t>
      </w:r>
      <w:r>
        <w:rPr>
          <w:spacing w:val="10"/>
        </w:rPr>
        <w:t>法定代表人授权</w:t>
      </w:r>
      <w:r>
        <w:rPr>
          <w:rFonts w:hint="eastAsia"/>
          <w:spacing w:val="10"/>
        </w:rPr>
        <w:t>委托</w:t>
      </w:r>
      <w:r>
        <w:rPr>
          <w:spacing w:val="10"/>
        </w:rPr>
        <w:t>书</w:t>
      </w:r>
      <w:r>
        <w:rPr>
          <w:rFonts w:hint="eastAsia"/>
          <w:spacing w:val="10"/>
        </w:rPr>
        <w:t>》</w:t>
      </w:r>
      <w:r>
        <w:rPr>
          <w:spacing w:val="10"/>
        </w:rPr>
        <w:t>。供应商为自然人的，应当由本人签字并附身份证明。</w:t>
      </w:r>
    </w:p>
    <w:p>
      <w:pPr>
        <w:pStyle w:val="146"/>
        <w:numPr>
          <w:ilvl w:val="1"/>
          <w:numId w:val="9"/>
        </w:numPr>
        <w:tabs>
          <w:tab w:val="left" w:pos="709"/>
        </w:tabs>
        <w:ind w:left="709"/>
        <w:textAlignment w:val="auto"/>
        <w:rPr>
          <w:spacing w:val="10"/>
        </w:rPr>
      </w:pPr>
      <w:r>
        <w:rPr>
          <w:rFonts w:hint="eastAsia"/>
          <w:spacing w:val="10"/>
        </w:rPr>
        <w:t>供应商必须按照磋商小组通知的内容和时间做出书面答复，该答复经法定代表人或其授权代表</w:t>
      </w:r>
      <w:r>
        <w:rPr>
          <w:rFonts w:hint="eastAsia" w:cs="宋体"/>
          <w:lang w:bidi="ar"/>
        </w:rPr>
        <w:t>签字或者加盖公章</w:t>
      </w:r>
      <w:r>
        <w:rPr>
          <w:rFonts w:hint="eastAsia"/>
          <w:spacing w:val="10"/>
        </w:rPr>
        <w:t>，将作为响应文件内容的一部分。澄清、说明或者补正不得超出响应文件的范围或者改变响应文件的实质性内容。供应商拒不按照要求对响应文件进行澄清、说明或者补正的，</w:t>
      </w:r>
      <w:r>
        <w:rPr>
          <w:rFonts w:hint="eastAsia"/>
          <w:b/>
        </w:rPr>
        <w:t>磋商小组可拒绝该响应</w:t>
      </w:r>
      <w:r>
        <w:rPr>
          <w:rFonts w:hint="eastAsia"/>
          <w:spacing w:val="10"/>
        </w:rPr>
        <w:t>。</w:t>
      </w:r>
    </w:p>
    <w:p>
      <w:pPr>
        <w:pStyle w:val="146"/>
        <w:numPr>
          <w:ilvl w:val="1"/>
          <w:numId w:val="9"/>
        </w:numPr>
        <w:tabs>
          <w:tab w:val="left" w:pos="709"/>
        </w:tabs>
        <w:ind w:left="709"/>
        <w:textAlignment w:val="auto"/>
      </w:pPr>
      <w:r>
        <w:rPr>
          <w:rFonts w:hint="eastAsia"/>
          <w:spacing w:val="10"/>
        </w:rPr>
        <w:t>如磋商小组一致认为某个供应商的报价与各供应商报价的平均报价价差较大，存在明显不合理，有低于成本价或降低质量、不能诚信履行的可能，影响公平竞争时，磋商小组有权决定是否通知供应商限期进行书面解释或提供相关证明材料。若已要求，而该供应商在规定期限内未做出解释、作出的解释不合理或不能提供证明材料的，</w:t>
      </w:r>
      <w:r>
        <w:rPr>
          <w:rFonts w:hint="eastAsia"/>
          <w:b/>
          <w:spacing w:val="10"/>
        </w:rPr>
        <w:t>磋商小组可拒绝该响应</w:t>
      </w:r>
      <w:r>
        <w:rPr>
          <w:rFonts w:hint="eastAsia"/>
        </w:rPr>
        <w:t>。</w:t>
      </w:r>
    </w:p>
    <w:p>
      <w:pPr>
        <w:pStyle w:val="146"/>
        <w:tabs>
          <w:tab w:val="left" w:pos="420"/>
        </w:tabs>
        <w:ind w:left="709" w:hanging="709"/>
      </w:pPr>
    </w:p>
    <w:p>
      <w:pPr>
        <w:pStyle w:val="146"/>
        <w:numPr>
          <w:ilvl w:val="0"/>
          <w:numId w:val="9"/>
        </w:numPr>
        <w:tabs>
          <w:tab w:val="left" w:pos="0"/>
          <w:tab w:val="clear" w:pos="2553"/>
        </w:tabs>
        <w:ind w:left="0" w:firstLine="0"/>
        <w:textAlignment w:val="auto"/>
      </w:pPr>
      <w:r>
        <w:rPr>
          <w:rFonts w:hint="eastAsia"/>
        </w:rPr>
        <w:t>对响应文件的详细评审</w:t>
      </w:r>
    </w:p>
    <w:p>
      <w:pPr>
        <w:pStyle w:val="146"/>
        <w:numPr>
          <w:ilvl w:val="1"/>
          <w:numId w:val="9"/>
        </w:numPr>
        <w:tabs>
          <w:tab w:val="left" w:pos="709"/>
        </w:tabs>
        <w:ind w:left="709"/>
        <w:textAlignment w:val="auto"/>
      </w:pPr>
      <w:r>
        <w:rPr>
          <w:rFonts w:hint="eastAsia"/>
        </w:rPr>
        <w:t>在</w:t>
      </w:r>
      <w:r>
        <w:rPr>
          <w:rFonts w:hint="eastAsia"/>
          <w:spacing w:val="10"/>
        </w:rPr>
        <w:t>磋商过程中，磋商小组可以根据磋商文件和磋商情况实质性变动磋商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w:t>
      </w:r>
      <w:r>
        <w:rPr>
          <w:rFonts w:hint="eastAsia" w:cs="宋体"/>
          <w:lang w:bidi="ar"/>
        </w:rPr>
        <w:t>并由其法定代表人或授权代表签字或者加盖公章。由授权代表签字的，应当附</w:t>
      </w:r>
      <w:r>
        <w:rPr>
          <w:rFonts w:hint="eastAsia"/>
          <w:spacing w:val="10"/>
        </w:rPr>
        <w:t>《</w:t>
      </w:r>
      <w:r>
        <w:rPr>
          <w:spacing w:val="10"/>
        </w:rPr>
        <w:t>法定代表人授权</w:t>
      </w:r>
      <w:r>
        <w:rPr>
          <w:rFonts w:hint="eastAsia"/>
          <w:spacing w:val="10"/>
        </w:rPr>
        <w:t>委托</w:t>
      </w:r>
      <w:r>
        <w:rPr>
          <w:spacing w:val="10"/>
        </w:rPr>
        <w:t>书</w:t>
      </w:r>
      <w:r>
        <w:rPr>
          <w:rFonts w:hint="eastAsia"/>
          <w:spacing w:val="10"/>
        </w:rPr>
        <w:t>》</w:t>
      </w:r>
      <w:r>
        <w:rPr>
          <w:rFonts w:hint="eastAsia" w:cs="宋体"/>
          <w:lang w:bidi="ar"/>
        </w:rPr>
        <w:t>。供应商为自然人的，应当由本人签字并附身份证明</w:t>
      </w:r>
      <w:r>
        <w:rPr>
          <w:rFonts w:hint="eastAsia"/>
        </w:rPr>
        <w:t>。</w:t>
      </w:r>
    </w:p>
    <w:p>
      <w:pPr>
        <w:pStyle w:val="146"/>
        <w:numPr>
          <w:ilvl w:val="1"/>
          <w:numId w:val="9"/>
        </w:numPr>
        <w:tabs>
          <w:tab w:val="left" w:pos="709"/>
        </w:tabs>
        <w:ind w:left="709"/>
        <w:textAlignment w:val="auto"/>
      </w:pPr>
      <w:r>
        <w:rPr>
          <w:rFonts w:hint="eastAsia"/>
        </w:rPr>
        <w:t>磋</w:t>
      </w:r>
      <w:r>
        <w:rPr>
          <w:rFonts w:hint="eastAsia"/>
          <w:spacing w:val="10"/>
        </w:rPr>
        <w:t>商文件能够详细列明磋商标的的技术、服务要求的，磋商结束后，磋商小组应当要求所有实质性响应的供应商在规定时间内提交最后报价，提交最后报价的供应商不得少于3家。磋商文件不能详细列明磋商标的的技术、服务要求，需经磋商由供应商提供最终设计方案或解决方案的，磋商结束后，磋商小组应当按照少数服从多数的原则投票推荐3家以上供应商的服务方案，并要求其在规定时间内提交最后报价。最后报价是供应商响应文件的有效组成部分。符合《政府采购竞争性磋商采购方式管理暂行办法》的通知(财库〔2014〕214号)第三条第四项情形的，提交最后报价的供应商可以为2家</w:t>
      </w:r>
      <w:r>
        <w:rPr>
          <w:rFonts w:hint="eastAsia"/>
        </w:rPr>
        <w:t>。</w:t>
      </w:r>
    </w:p>
    <w:p>
      <w:pPr>
        <w:pStyle w:val="146"/>
        <w:numPr>
          <w:ilvl w:val="1"/>
          <w:numId w:val="9"/>
        </w:numPr>
        <w:tabs>
          <w:tab w:val="left" w:pos="709"/>
        </w:tabs>
        <w:ind w:left="709"/>
        <w:textAlignment w:val="auto"/>
      </w:pPr>
      <w:r>
        <w:rPr>
          <w:rFonts w:hint="eastAsia"/>
        </w:rPr>
        <w:t>提供相同品牌产品处理。</w:t>
      </w:r>
      <w:r>
        <w:t>提供相同品牌产品且通过资格审查、符合性审查的不同</w:t>
      </w:r>
      <w:r>
        <w:rPr>
          <w:rFonts w:hint="eastAsia"/>
        </w:rPr>
        <w:t>供应商</w:t>
      </w:r>
      <w:r>
        <w:t>参加同一合同项下</w:t>
      </w:r>
      <w:r>
        <w:rPr>
          <w:rFonts w:hint="eastAsia"/>
        </w:rPr>
        <w:t>采购项目</w:t>
      </w:r>
      <w:r>
        <w:t>的，按一家</w:t>
      </w:r>
      <w:r>
        <w:rPr>
          <w:rFonts w:hint="eastAsia"/>
        </w:rPr>
        <w:t>供应商</w:t>
      </w:r>
      <w:r>
        <w:t>计算，评审后得分最高的同品牌</w:t>
      </w:r>
      <w:r>
        <w:rPr>
          <w:rFonts w:hint="eastAsia"/>
        </w:rPr>
        <w:t>供应商</w:t>
      </w:r>
      <w:r>
        <w:t>获得</w:t>
      </w:r>
      <w:r>
        <w:rPr>
          <w:rFonts w:hint="eastAsia"/>
        </w:rPr>
        <w:t>成交供应商</w:t>
      </w:r>
      <w:r>
        <w:t>推荐资格；评审得分相同的，由采购人</w:t>
      </w:r>
      <w:r>
        <w:rPr>
          <w:rFonts w:hint="eastAsia"/>
        </w:rPr>
        <w:t>确定</w:t>
      </w:r>
      <w:r>
        <w:t>或者采购人委托</w:t>
      </w:r>
      <w:r>
        <w:rPr>
          <w:rFonts w:hint="eastAsia"/>
        </w:rPr>
        <w:t>磋商小组自主采取公平、择优的方式</w:t>
      </w:r>
      <w:r>
        <w:t>确定一个</w:t>
      </w:r>
      <w:r>
        <w:rPr>
          <w:rFonts w:hint="eastAsia"/>
        </w:rPr>
        <w:t>供应商</w:t>
      </w:r>
      <w:r>
        <w:t>获得</w:t>
      </w:r>
      <w:r>
        <w:rPr>
          <w:rFonts w:hint="eastAsia"/>
        </w:rPr>
        <w:t>成交供应商</w:t>
      </w:r>
      <w:r>
        <w:t>推荐资格，其他同品牌</w:t>
      </w:r>
      <w:r>
        <w:rPr>
          <w:rFonts w:hint="eastAsia"/>
        </w:rPr>
        <w:t>供应商</w:t>
      </w:r>
      <w:r>
        <w:t>不作为</w:t>
      </w:r>
      <w:r>
        <w:rPr>
          <w:rFonts w:hint="eastAsia"/>
        </w:rPr>
        <w:t>成交供应商</w:t>
      </w:r>
      <w:r>
        <w:t>候选人。</w:t>
      </w:r>
    </w:p>
    <w:p>
      <w:pPr>
        <w:pStyle w:val="146"/>
        <w:numPr>
          <w:ilvl w:val="1"/>
          <w:numId w:val="9"/>
        </w:numPr>
        <w:tabs>
          <w:tab w:val="left" w:pos="709"/>
        </w:tabs>
        <w:ind w:left="709"/>
        <w:textAlignment w:val="auto"/>
      </w:pPr>
      <w:r>
        <w:rPr>
          <w:rFonts w:hint="eastAsia"/>
        </w:rPr>
        <w:t>非单一产品采购项目中，多家供应商提供的部分或所有核心产品品牌相同的，视为提供相同品牌产品</w:t>
      </w:r>
      <w:r>
        <w:rPr>
          <w:rFonts w:hint="eastAsia"/>
          <w:color w:val="auto"/>
        </w:rPr>
        <w:t>。</w:t>
      </w:r>
    </w:p>
    <w:p>
      <w:pPr>
        <w:pStyle w:val="146"/>
        <w:numPr>
          <w:ilvl w:val="1"/>
          <w:numId w:val="9"/>
        </w:numPr>
        <w:tabs>
          <w:tab w:val="left" w:pos="709"/>
        </w:tabs>
        <w:ind w:left="709"/>
        <w:textAlignment w:val="auto"/>
      </w:pPr>
      <w:r>
        <w:rPr>
          <w:rFonts w:hint="eastAsia"/>
        </w:rPr>
        <w:t>已提交响应文件的供应商，在提交最后报价之前，可以根据磋商情况退出磋商。</w:t>
      </w:r>
    </w:p>
    <w:p>
      <w:pPr>
        <w:pStyle w:val="146"/>
        <w:numPr>
          <w:ilvl w:val="1"/>
          <w:numId w:val="9"/>
        </w:numPr>
        <w:tabs>
          <w:tab w:val="left" w:pos="709"/>
        </w:tabs>
        <w:ind w:left="709"/>
        <w:textAlignment w:val="auto"/>
      </w:pPr>
      <w:r>
        <w:rPr>
          <w:rFonts w:hint="eastAsia"/>
        </w:rPr>
        <w:t>经磋商确定最终磋商需求和提交最后报价的供应商后，由磋商小组采用综合评分法对提交最后报价的供应商的响应文件和最后报价进行综合评分。</w:t>
      </w:r>
    </w:p>
    <w:p>
      <w:pPr>
        <w:pStyle w:val="146"/>
        <w:numPr>
          <w:ilvl w:val="1"/>
          <w:numId w:val="9"/>
        </w:numPr>
        <w:tabs>
          <w:tab w:val="left" w:pos="709"/>
        </w:tabs>
        <w:ind w:left="709"/>
        <w:textAlignment w:val="auto"/>
      </w:pPr>
      <w:r>
        <w:rPr>
          <w:rFonts w:hint="eastAsia"/>
        </w:rPr>
        <w:t>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pPr>
        <w:pStyle w:val="146"/>
        <w:numPr>
          <w:ilvl w:val="1"/>
          <w:numId w:val="9"/>
        </w:numPr>
        <w:tabs>
          <w:tab w:val="left" w:pos="709"/>
        </w:tabs>
        <w:ind w:left="709"/>
        <w:textAlignment w:val="auto"/>
      </w:pPr>
      <w:r>
        <w:rPr>
          <w:rFonts w:hint="eastAsia"/>
        </w:rPr>
        <w:t>评审时，磋商小组各成员应当独立对每个有效响应的文件进行评价、打分，然后汇总每个供应商每项评分因素的得分。</w:t>
      </w:r>
    </w:p>
    <w:p>
      <w:pPr>
        <w:pStyle w:val="146"/>
        <w:numPr>
          <w:ilvl w:val="1"/>
          <w:numId w:val="9"/>
        </w:numPr>
        <w:tabs>
          <w:tab w:val="left" w:pos="709"/>
        </w:tabs>
        <w:ind w:left="709"/>
        <w:textAlignment w:val="auto"/>
      </w:pPr>
      <w:r>
        <w:rPr>
          <w:rFonts w:hint="eastAsia"/>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w:t>
      </w:r>
    </w:p>
    <w:p>
      <w:pPr>
        <w:pStyle w:val="146"/>
        <w:numPr>
          <w:ilvl w:val="1"/>
          <w:numId w:val="9"/>
        </w:numPr>
        <w:tabs>
          <w:tab w:val="left" w:pos="709"/>
        </w:tabs>
        <w:ind w:left="709"/>
        <w:textAlignment w:val="auto"/>
      </w:pPr>
      <w:r>
        <w:rPr>
          <w:rFonts w:hint="eastAsia"/>
        </w:rPr>
        <w:t>项目评审过程中，不得去掉最后报价中的最高报价和最低报价。</w:t>
      </w:r>
    </w:p>
    <w:p>
      <w:pPr>
        <w:pStyle w:val="146"/>
        <w:numPr>
          <w:ilvl w:val="1"/>
          <w:numId w:val="9"/>
        </w:numPr>
        <w:tabs>
          <w:tab w:val="left" w:pos="709"/>
        </w:tabs>
        <w:ind w:left="709"/>
        <w:textAlignment w:val="auto"/>
      </w:pPr>
      <w:r>
        <w:rPr>
          <w:rFonts w:hint="eastAsia"/>
        </w:rPr>
        <w:t>磋商小组只对实质上响应磋商文件的响应进行评价和比较；评审应严格按照磋商文件的要求和条件进行；具体评审原则、方法和成交条件详见磋商文件</w:t>
      </w:r>
      <w:r>
        <w:rPr>
          <w:rFonts w:hint="eastAsia"/>
          <w:u w:val="single"/>
        </w:rPr>
        <w:t>第四章“磋商程序及评审办法”</w:t>
      </w:r>
      <w:r>
        <w:rPr>
          <w:rFonts w:hint="eastAsia"/>
        </w:rPr>
        <w:t>。</w:t>
      </w:r>
    </w:p>
    <w:p>
      <w:pPr>
        <w:spacing w:line="240" w:lineRule="auto"/>
        <w:ind w:left="718" w:hanging="718" w:hangingChars="342"/>
        <w:rPr>
          <w:rFonts w:ascii="宋体" w:hAnsi="宋体"/>
          <w:sz w:val="21"/>
          <w:szCs w:val="21"/>
        </w:rPr>
      </w:pPr>
    </w:p>
    <w:p>
      <w:pPr>
        <w:pStyle w:val="146"/>
        <w:numPr>
          <w:ilvl w:val="0"/>
          <w:numId w:val="9"/>
        </w:numPr>
        <w:tabs>
          <w:tab w:val="left" w:pos="0"/>
          <w:tab w:val="clear" w:pos="2553"/>
        </w:tabs>
        <w:ind w:left="0" w:firstLine="0"/>
        <w:textAlignment w:val="auto"/>
      </w:pPr>
      <w:r>
        <w:rPr>
          <w:rFonts w:hint="eastAsia"/>
        </w:rPr>
        <w:t>确定成交供应商</w:t>
      </w:r>
    </w:p>
    <w:p>
      <w:pPr>
        <w:pStyle w:val="146"/>
        <w:numPr>
          <w:ilvl w:val="1"/>
          <w:numId w:val="9"/>
        </w:numPr>
        <w:tabs>
          <w:tab w:val="left" w:pos="709"/>
        </w:tabs>
        <w:ind w:left="709"/>
        <w:textAlignment w:val="auto"/>
      </w:pPr>
      <w:r>
        <w:rPr>
          <w:rFonts w:hint="eastAsia"/>
        </w:rPr>
        <w:t>磋商小组应当根据综合评分情况，按照评审得分由高到低顺序推荐</w:t>
      </w:r>
      <w:r>
        <w:rPr>
          <w:rFonts w:hint="eastAsia"/>
          <w:u w:val="single"/>
        </w:rPr>
        <w:t>1-3名</w:t>
      </w:r>
      <w:r>
        <w:rPr>
          <w:rFonts w:hint="eastAsia"/>
        </w:rPr>
        <w:t>以上成交候选供应商，并编写评审报告。符合《政府采购竞争性磋商采购方式管理暂行办法》的通知(财库〔2014〕214号)第二十一条第三款情形的，可以推荐</w:t>
      </w:r>
      <w:r>
        <w:rPr>
          <w:rFonts w:hint="eastAsia"/>
          <w:u w:val="single"/>
        </w:rPr>
        <w:t>1-2家</w:t>
      </w:r>
      <w:r>
        <w:rPr>
          <w:rFonts w:hint="eastAsia"/>
        </w:rPr>
        <w:t>成交候选供应商。评审得分相同的，按照最后报价由低到高的顺序推荐。评审得分且最后报价相同的，按照技术得分高的顺序推荐。评审得分相同、最后报价相同且技术得分也相同，</w:t>
      </w:r>
      <w:r>
        <w:rPr>
          <w:rFonts w:hint="eastAsia"/>
          <w:spacing w:val="10"/>
        </w:rPr>
        <w:t>则由采购人以公平公正的方法选择成交候选人。</w:t>
      </w:r>
    </w:p>
    <w:p>
      <w:pPr>
        <w:pStyle w:val="146"/>
        <w:numPr>
          <w:ilvl w:val="1"/>
          <w:numId w:val="9"/>
        </w:numPr>
        <w:tabs>
          <w:tab w:val="left" w:pos="709"/>
        </w:tabs>
        <w:ind w:left="709"/>
        <w:textAlignment w:val="auto"/>
      </w:pPr>
      <w:r>
        <w:rPr>
          <w:rFonts w:hint="eastAsia"/>
        </w:rPr>
        <w:t>评审报告应当由磋商小组全体成员签字认可。磋商小组成员对评审报告有异议的，磋商小组按照少数服从多数的原则推荐成交候选供应商，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46"/>
        <w:numPr>
          <w:ilvl w:val="1"/>
          <w:numId w:val="9"/>
        </w:numPr>
        <w:tabs>
          <w:tab w:val="left" w:pos="709"/>
        </w:tabs>
        <w:ind w:left="709"/>
        <w:textAlignment w:val="auto"/>
      </w:pPr>
      <w:r>
        <w:rPr>
          <w:rFonts w:hint="eastAsi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46"/>
        <w:numPr>
          <w:ilvl w:val="1"/>
          <w:numId w:val="9"/>
        </w:numPr>
        <w:tabs>
          <w:tab w:val="left" w:pos="709"/>
        </w:tabs>
        <w:ind w:left="709"/>
        <w:textAlignment w:val="auto"/>
      </w:pPr>
      <w:r>
        <w:rPr>
          <w:rFonts w:hint="eastAsia"/>
        </w:rPr>
        <w:t>采购人将确定排名第一的成交候选人为成交供应商并向其授予合同。排名第一的成交候选人因不可抗力或者自身原因不能履行合同，采购人可以按照《政府采购竞争性磋商采购方式管理暂行办法》的通知(财库〔2014〕214号)第二十八条第二款规定的原则确定其他供应商作为成交供应商并签订政府采购合同。</w:t>
      </w:r>
    </w:p>
    <w:p>
      <w:pPr>
        <w:pStyle w:val="146"/>
        <w:numPr>
          <w:ilvl w:val="1"/>
          <w:numId w:val="9"/>
        </w:numPr>
        <w:tabs>
          <w:tab w:val="left" w:pos="709"/>
        </w:tabs>
        <w:ind w:left="709"/>
        <w:textAlignment w:val="auto"/>
      </w:pPr>
      <w:r>
        <w:rPr>
          <w:rFonts w:hint="eastAsia"/>
        </w:rPr>
        <w:t>除资格性检查认定错误、分值汇总计算错误、分项评分超出评分标准范围、客观分评分不一致、经磋商小组一致认定评分畸高、畸低的情形外，采购人或采购代理机构不得以任何理由组织重新评审。采购人发现磋商小组未按照磋商文件规定的评审标准进行评审的，应当重新开展磋商活动，并同时书面报告本级财政部门。</w:t>
      </w:r>
    </w:p>
    <w:p>
      <w:pPr>
        <w:pStyle w:val="146"/>
        <w:numPr>
          <w:ilvl w:val="1"/>
          <w:numId w:val="9"/>
        </w:numPr>
        <w:tabs>
          <w:tab w:val="left" w:pos="709"/>
        </w:tabs>
        <w:ind w:left="709"/>
        <w:textAlignment w:val="auto"/>
      </w:pPr>
      <w:r>
        <w:rPr>
          <w:rFonts w:hint="eastAsia"/>
        </w:rPr>
        <w:t>采购人或采购代理机构不得通过对样品进行检测、对供应商进行考察等方式改变评审结果。</w:t>
      </w:r>
    </w:p>
    <w:p>
      <w:pPr>
        <w:pStyle w:val="146"/>
        <w:tabs>
          <w:tab w:val="left" w:pos="420"/>
        </w:tabs>
        <w:ind w:left="709" w:hanging="709"/>
      </w:pPr>
    </w:p>
    <w:p>
      <w:pPr>
        <w:pStyle w:val="146"/>
        <w:numPr>
          <w:ilvl w:val="0"/>
          <w:numId w:val="9"/>
        </w:numPr>
        <w:tabs>
          <w:tab w:val="left" w:pos="0"/>
          <w:tab w:val="clear" w:pos="2553"/>
        </w:tabs>
        <w:ind w:left="0" w:firstLine="0"/>
        <w:textAlignment w:val="auto"/>
      </w:pPr>
      <w:r>
        <w:rPr>
          <w:rFonts w:hint="eastAsia"/>
        </w:rPr>
        <w:t>评审过程保密</w:t>
      </w:r>
    </w:p>
    <w:p>
      <w:pPr>
        <w:pStyle w:val="146"/>
        <w:numPr>
          <w:ilvl w:val="1"/>
          <w:numId w:val="9"/>
        </w:numPr>
        <w:tabs>
          <w:tab w:val="left" w:pos="709"/>
        </w:tabs>
        <w:ind w:left="709"/>
        <w:textAlignment w:val="auto"/>
      </w:pPr>
      <w:r>
        <w:rPr>
          <w:rFonts w:hint="eastAsia"/>
        </w:rPr>
        <w:t>响应截止时间之后，直到授予供应商合同止，凡是属于审查、澄清、评价和比较响应的有关资料以及授标意向等，均不向供应商或其他与评审无关的人员透露。</w:t>
      </w:r>
    </w:p>
    <w:p>
      <w:pPr>
        <w:pStyle w:val="146"/>
        <w:numPr>
          <w:ilvl w:val="1"/>
          <w:numId w:val="9"/>
        </w:numPr>
        <w:tabs>
          <w:tab w:val="left" w:pos="709"/>
        </w:tabs>
        <w:ind w:left="709"/>
        <w:textAlignment w:val="auto"/>
      </w:pPr>
      <w:r>
        <w:rPr>
          <w:rFonts w:hint="eastAsia"/>
        </w:rPr>
        <w:t>在评审期间，供应商企图影响采购人或磋商小组的任何活动，将导致</w:t>
      </w:r>
      <w:r>
        <w:rPr>
          <w:rFonts w:hint="eastAsia"/>
          <w:b/>
        </w:rPr>
        <w:t>响应被拒绝</w:t>
      </w:r>
      <w:r>
        <w:rPr>
          <w:rFonts w:hint="eastAsia"/>
        </w:rPr>
        <w:t>，并由其承担相应的法律责任。</w:t>
      </w:r>
    </w:p>
    <w:p>
      <w:pPr>
        <w:pStyle w:val="146"/>
        <w:numPr>
          <w:ilvl w:val="1"/>
          <w:numId w:val="9"/>
        </w:numPr>
        <w:tabs>
          <w:tab w:val="left" w:pos="709"/>
        </w:tabs>
        <w:ind w:left="709"/>
        <w:textAlignment w:val="auto"/>
      </w:pPr>
      <w:r>
        <w:rPr>
          <w:rFonts w:hint="eastAsia"/>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146"/>
        <w:tabs>
          <w:tab w:val="left" w:pos="420"/>
        </w:tabs>
        <w:ind w:left="709" w:hanging="709"/>
      </w:pPr>
    </w:p>
    <w:p>
      <w:pPr>
        <w:pStyle w:val="146"/>
        <w:numPr>
          <w:ilvl w:val="0"/>
          <w:numId w:val="9"/>
        </w:numPr>
        <w:tabs>
          <w:tab w:val="left" w:pos="0"/>
          <w:tab w:val="clear" w:pos="2553"/>
        </w:tabs>
        <w:ind w:left="0" w:firstLine="0"/>
        <w:textAlignment w:val="auto"/>
      </w:pPr>
      <w:r>
        <w:rPr>
          <w:rFonts w:hint="eastAsia"/>
        </w:rPr>
        <w:t>关于供应商瑕疵滞后发现的处理规则：</w:t>
      </w:r>
    </w:p>
    <w:p>
      <w:pPr>
        <w:pStyle w:val="146"/>
        <w:numPr>
          <w:ilvl w:val="1"/>
          <w:numId w:val="9"/>
        </w:numPr>
        <w:tabs>
          <w:tab w:val="left" w:pos="709"/>
        </w:tabs>
        <w:ind w:left="709"/>
        <w:textAlignment w:val="auto"/>
      </w:pPr>
      <w:r>
        <w:rPr>
          <w:rFonts w:hint="eastAsia"/>
        </w:rPr>
        <w:t>无论基于何种原因，各项本应作拒绝处理的情形即便未被及时发现而使该供应商进入初审、详细评审或其它后续程序，包括已经签约的情形，一旦该供应商被拒绝或该供应商的此前评议结果被取消，其现有的位置将被其他供应商依序替代，相关的一切损失均由该供应商承担。</w:t>
      </w:r>
    </w:p>
    <w:p>
      <w:pPr>
        <w:pStyle w:val="146"/>
        <w:numPr>
          <w:ilvl w:val="1"/>
          <w:numId w:val="9"/>
        </w:numPr>
        <w:tabs>
          <w:tab w:val="left" w:pos="709"/>
        </w:tabs>
        <w:ind w:left="709"/>
        <w:textAlignment w:val="auto"/>
      </w:pPr>
      <w:r>
        <w:rPr>
          <w:rFonts w:hint="eastAsia"/>
        </w:rPr>
        <w:t>但若已经超过质疑期限而没有被发现且已经签署了相关的合同，之后才发现存在上述情形，经采购人再行审查认为其在技术、必要资质等方面并不存在问题而仅属于商务方面存在瑕疵的问题，且若一旦取消该供应商的此前评议结果或采取类似的处理措施将对本次采购更为不利的情形除外，该等情形包括：一旦予以拒绝或采取类似的处理措施将使本次采购的成本大幅上升、延误期限以至可能给采购人造成较大损失、采购人或主要用户出具明确要求维持既定结果的书面意见等。</w:t>
      </w:r>
    </w:p>
    <w:p>
      <w:pPr>
        <w:pStyle w:val="146"/>
        <w:numPr>
          <w:ilvl w:val="1"/>
          <w:numId w:val="9"/>
        </w:numPr>
        <w:tabs>
          <w:tab w:val="left" w:pos="709"/>
        </w:tabs>
        <w:ind w:left="709"/>
        <w:textAlignment w:val="auto"/>
      </w:pPr>
      <w:r>
        <w:rPr>
          <w:rFonts w:hint="eastAsia"/>
        </w:rPr>
        <w:t>在上述考虑维持结果的情形下，采购人有权要求该存在瑕疵的供应商提供特别担保金用以承担可能产生的赔偿责任，若其拒绝提供该等担保或实际提供的担保金额不足要求金额，采购人有权并且应当决定取消该供应商的此前评议结果或采取类似的处理措施。</w:t>
      </w:r>
    </w:p>
    <w:p>
      <w:pPr>
        <w:pStyle w:val="146"/>
        <w:tabs>
          <w:tab w:val="left" w:pos="420"/>
        </w:tabs>
        <w:ind w:left="709" w:hanging="709"/>
      </w:pPr>
    </w:p>
    <w:p>
      <w:pPr>
        <w:pStyle w:val="146"/>
        <w:numPr>
          <w:ilvl w:val="0"/>
          <w:numId w:val="9"/>
        </w:numPr>
        <w:ind w:left="709"/>
      </w:pPr>
      <w:r>
        <w:rPr>
          <w:rFonts w:hint="eastAsia"/>
        </w:rPr>
        <w:t>磋商项目废标</w:t>
      </w:r>
    </w:p>
    <w:p>
      <w:pPr>
        <w:pStyle w:val="146"/>
        <w:numPr>
          <w:ilvl w:val="1"/>
          <w:numId w:val="9"/>
        </w:numPr>
        <w:tabs>
          <w:tab w:val="left" w:pos="709"/>
        </w:tabs>
        <w:snapToGrid w:val="0"/>
        <w:ind w:left="709"/>
        <w:textAlignment w:val="auto"/>
      </w:pPr>
      <w:r>
        <w:rPr>
          <w:rFonts w:hint="eastAsia"/>
        </w:rPr>
        <w:t>在评审过程中，磋商小组发现有下列情形之一的，应对磋商项目予以废标：</w:t>
      </w:r>
    </w:p>
    <w:p>
      <w:pPr>
        <w:numPr>
          <w:ilvl w:val="0"/>
          <w:numId w:val="16"/>
        </w:numPr>
        <w:snapToGrid w:val="0"/>
        <w:spacing w:line="240" w:lineRule="auto"/>
        <w:textAlignment w:val="auto"/>
        <w:rPr>
          <w:rFonts w:ascii="宋体" w:hAnsi="宋体"/>
          <w:sz w:val="21"/>
          <w:szCs w:val="21"/>
        </w:rPr>
      </w:pPr>
      <w:r>
        <w:rPr>
          <w:rFonts w:hint="eastAsia" w:ascii="宋体" w:hAnsi="宋体"/>
          <w:sz w:val="21"/>
          <w:szCs w:val="21"/>
        </w:rPr>
        <w:t>因情况变化，不再符合规定的竞争性磋商方式适用情形的；</w:t>
      </w:r>
    </w:p>
    <w:p>
      <w:pPr>
        <w:numPr>
          <w:ilvl w:val="0"/>
          <w:numId w:val="16"/>
        </w:numPr>
        <w:snapToGrid w:val="0"/>
        <w:spacing w:line="240" w:lineRule="auto"/>
        <w:textAlignment w:val="auto"/>
        <w:rPr>
          <w:rFonts w:ascii="宋体" w:hAnsi="宋体"/>
          <w:sz w:val="21"/>
          <w:szCs w:val="21"/>
        </w:rPr>
      </w:pPr>
      <w:r>
        <w:rPr>
          <w:rFonts w:hint="eastAsia" w:ascii="宋体" w:hAnsi="宋体"/>
          <w:sz w:val="21"/>
          <w:szCs w:val="21"/>
        </w:rPr>
        <w:t>出现影响磋商公正的违法、违规行为的；</w:t>
      </w:r>
    </w:p>
    <w:p>
      <w:pPr>
        <w:numPr>
          <w:ilvl w:val="0"/>
          <w:numId w:val="16"/>
        </w:numPr>
        <w:snapToGrid w:val="0"/>
        <w:spacing w:line="240" w:lineRule="auto"/>
        <w:textAlignment w:val="auto"/>
        <w:rPr>
          <w:rFonts w:ascii="宋体" w:hAnsi="宋体"/>
          <w:sz w:val="21"/>
          <w:szCs w:val="21"/>
        </w:rPr>
      </w:pPr>
      <w:r>
        <w:rPr>
          <w:rFonts w:hint="eastAsia" w:ascii="宋体" w:hAnsi="宋体"/>
          <w:spacing w:val="10"/>
          <w:sz w:val="21"/>
          <w:szCs w:val="21"/>
        </w:rPr>
        <w:t>供应商的报价均超过了采购预算，采购人不能支付的；</w:t>
      </w:r>
    </w:p>
    <w:p>
      <w:pPr>
        <w:numPr>
          <w:ilvl w:val="0"/>
          <w:numId w:val="16"/>
        </w:numPr>
        <w:snapToGrid w:val="0"/>
        <w:spacing w:line="240" w:lineRule="auto"/>
        <w:textAlignment w:val="auto"/>
        <w:rPr>
          <w:rFonts w:ascii="宋体" w:hAnsi="宋体"/>
          <w:sz w:val="21"/>
          <w:szCs w:val="21"/>
        </w:rPr>
      </w:pPr>
      <w:r>
        <w:rPr>
          <w:rFonts w:hint="eastAsia" w:ascii="宋体" w:hAnsi="宋体"/>
          <w:sz w:val="21"/>
          <w:szCs w:val="21"/>
        </w:rPr>
        <w:t>除《政府采购竞争性磋商采购方式管理暂行办法》的通知(财库〔2014〕214号)第二十一条第三款规定的情形外，在磋商过程中符合要求的供应商或者报价未超过磋商预算的供应商不足3家的。</w:t>
      </w:r>
    </w:p>
    <w:p>
      <w:pPr>
        <w:pStyle w:val="146"/>
        <w:numPr>
          <w:ilvl w:val="1"/>
          <w:numId w:val="9"/>
        </w:numPr>
        <w:tabs>
          <w:tab w:val="left" w:pos="709"/>
        </w:tabs>
        <w:snapToGrid w:val="0"/>
        <w:ind w:left="709"/>
        <w:textAlignment w:val="auto"/>
      </w:pPr>
      <w:r>
        <w:rPr>
          <w:rFonts w:hint="eastAsia"/>
        </w:rPr>
        <w:t>磋商项目废标后，磋商小组应作出书面报告。</w:t>
      </w:r>
    </w:p>
    <w:p>
      <w:pPr>
        <w:pStyle w:val="146"/>
        <w:numPr>
          <w:ilvl w:val="1"/>
          <w:numId w:val="9"/>
        </w:numPr>
        <w:tabs>
          <w:tab w:val="left" w:pos="709"/>
        </w:tabs>
        <w:snapToGrid w:val="0"/>
        <w:ind w:left="709"/>
        <w:textAlignment w:val="auto"/>
      </w:pPr>
      <w:r>
        <w:rPr>
          <w:rFonts w:hint="eastAsia"/>
        </w:rPr>
        <w:t>在磋商活动中因重大变故，磋商任务取消的，采购人或者采购代理机构应当终止磋商活动，通知所有参加磋商活动的供应商，并将项目实施情况和磋商任务取消原因报送本级财政部门。</w:t>
      </w:r>
    </w:p>
    <w:p>
      <w:pPr>
        <w:pStyle w:val="146"/>
        <w:numPr>
          <w:ilvl w:val="1"/>
          <w:numId w:val="9"/>
        </w:numPr>
        <w:tabs>
          <w:tab w:val="left" w:pos="709"/>
        </w:tabs>
        <w:snapToGrid w:val="0"/>
        <w:ind w:left="709"/>
        <w:textAlignment w:val="auto"/>
      </w:pPr>
      <w:r>
        <w:rPr>
          <w:rFonts w:hint="eastAsia"/>
        </w:rPr>
        <w:t>废标后，采购人或采购代理机构应当将废标原因通知所有供应商。</w:t>
      </w:r>
    </w:p>
    <w:p>
      <w:pPr>
        <w:pStyle w:val="146"/>
        <w:snapToGrid w:val="0"/>
        <w:textAlignment w:val="auto"/>
      </w:pPr>
    </w:p>
    <w:p>
      <w:pPr>
        <w:pStyle w:val="6"/>
      </w:pPr>
      <w:r>
        <w:rPr>
          <w:rFonts w:hint="eastAsia"/>
        </w:rPr>
        <w:t>六、签订合同</w:t>
      </w:r>
    </w:p>
    <w:p>
      <w:pPr>
        <w:pStyle w:val="146"/>
        <w:numPr>
          <w:ilvl w:val="0"/>
          <w:numId w:val="9"/>
        </w:numPr>
        <w:ind w:left="709"/>
      </w:pPr>
      <w:r>
        <w:rPr>
          <w:rFonts w:hint="eastAsia"/>
        </w:rPr>
        <w:t>成交通知</w:t>
      </w:r>
    </w:p>
    <w:p>
      <w:pPr>
        <w:pStyle w:val="146"/>
        <w:numPr>
          <w:ilvl w:val="1"/>
          <w:numId w:val="9"/>
        </w:numPr>
        <w:tabs>
          <w:tab w:val="left" w:pos="709"/>
        </w:tabs>
        <w:snapToGrid w:val="0"/>
        <w:ind w:left="709"/>
        <w:textAlignment w:val="auto"/>
      </w:pPr>
      <w:r>
        <w:rPr>
          <w:rFonts w:hint="eastAsia"/>
        </w:rPr>
        <w:t>采购代理机构应当在成交供应商确定后2个工作日内，在信息发布媒体上公告成交结果，同时向成交供应商发出成交通知书，并将磋商文件随成交结果同时公告。但该成交结果的有效性不依赖于未成交的供应商是否已经收到该通知。成交通知书对采购人和成交供应商具有同等法律效力。成交通知书发出以后，采购人改变成交结果或者成交供应商放弃成交，应当承担相应的法律责任。</w:t>
      </w:r>
    </w:p>
    <w:p>
      <w:pPr>
        <w:pStyle w:val="146"/>
        <w:numPr>
          <w:ilvl w:val="1"/>
          <w:numId w:val="9"/>
        </w:numPr>
        <w:tabs>
          <w:tab w:val="left" w:pos="709"/>
        </w:tabs>
        <w:snapToGrid w:val="0"/>
        <w:ind w:left="709"/>
        <w:textAlignment w:val="auto"/>
      </w:pPr>
      <w:r>
        <w:rPr>
          <w:rFonts w:hint="eastAsia"/>
        </w:rPr>
        <w:t>成交通知书是合同的组成部分。</w:t>
      </w:r>
    </w:p>
    <w:p>
      <w:pPr>
        <w:spacing w:line="240" w:lineRule="auto"/>
        <w:ind w:left="720" w:hanging="720"/>
        <w:jc w:val="both"/>
        <w:rPr>
          <w:rFonts w:ascii="宋体" w:hAnsi="宋体"/>
          <w:sz w:val="21"/>
          <w:szCs w:val="21"/>
        </w:rPr>
      </w:pPr>
    </w:p>
    <w:p>
      <w:pPr>
        <w:pStyle w:val="146"/>
        <w:numPr>
          <w:ilvl w:val="0"/>
          <w:numId w:val="9"/>
        </w:numPr>
        <w:ind w:left="709"/>
      </w:pPr>
      <w:r>
        <w:rPr>
          <w:rFonts w:hint="eastAsia"/>
        </w:rPr>
        <w:t>签订合同</w:t>
      </w:r>
    </w:p>
    <w:p>
      <w:pPr>
        <w:pStyle w:val="146"/>
        <w:numPr>
          <w:ilvl w:val="1"/>
          <w:numId w:val="9"/>
        </w:numPr>
        <w:tabs>
          <w:tab w:val="left" w:pos="709"/>
        </w:tabs>
        <w:ind w:left="709"/>
        <w:textAlignment w:val="auto"/>
      </w:pPr>
      <w:r>
        <w:rPr>
          <w:rFonts w:hint="eastAsia"/>
        </w:rPr>
        <w:t>采购人与成交供应商应当在成交通知书发出之日起30日内签订合同。采购人不得向成交供应商提出超出磋商文件以外的任何要求作为签订合同的条件，不得与成交供应商订立背离磋商文件确定的合同文本以及磋商金额、服务标准、技术要求等实质性内容的协议。</w:t>
      </w:r>
    </w:p>
    <w:p>
      <w:pPr>
        <w:pStyle w:val="146"/>
        <w:numPr>
          <w:ilvl w:val="1"/>
          <w:numId w:val="9"/>
        </w:numPr>
        <w:tabs>
          <w:tab w:val="left" w:pos="709"/>
        </w:tabs>
        <w:ind w:left="709"/>
        <w:textAlignment w:val="auto"/>
      </w:pPr>
      <w:r>
        <w:rPr>
          <w:rFonts w:hint="eastAsia"/>
        </w:rPr>
        <w:t>采购人如需追加与合同标的相同的服务在不改变合同其他条款的前提下，成交供应商可与采购人协商签订补充合同，补充合同金额由双方协商确定，但不得超过合同金额的10%。</w:t>
      </w:r>
    </w:p>
    <w:p>
      <w:pPr>
        <w:pStyle w:val="146"/>
        <w:numPr>
          <w:ilvl w:val="1"/>
          <w:numId w:val="9"/>
        </w:numPr>
        <w:tabs>
          <w:tab w:val="left" w:pos="709"/>
        </w:tabs>
        <w:ind w:left="709"/>
        <w:textAlignment w:val="auto"/>
      </w:pPr>
      <w:r>
        <w:rPr>
          <w:rFonts w:hint="eastAsia"/>
        </w:rPr>
        <w:t>成交供应商拒绝签订政府采购合同的，采购人可以按照《政府采购竞争性磋商采购方式管理暂行办法》第二十八条第二款规定的原则确定其他供应商作为成交供应商并签订政府采购合同，也可以重新开展磋商活动。拒绝签订政府采购合同的成交供应商不得参加对该项目重新开展的磋商活动。</w:t>
      </w:r>
    </w:p>
    <w:p>
      <w:pPr>
        <w:pStyle w:val="146"/>
        <w:numPr>
          <w:ilvl w:val="1"/>
          <w:numId w:val="9"/>
        </w:numPr>
        <w:tabs>
          <w:tab w:val="left" w:pos="709"/>
        </w:tabs>
        <w:ind w:left="709"/>
        <w:textAlignment w:val="auto"/>
      </w:pPr>
      <w:r>
        <w:rPr>
          <w:rFonts w:hint="eastAsia"/>
        </w:rPr>
        <w:t>成交供应商一旦成交，及签订合同后，未经采购人事先给予书面同意不得转包、分包，亦不得将合同全部及任何权利、义务向第三方转让，否则将被视为严重违约，采购人有权决定按照成交供应商成交后毁标、终止或解除合同等依约处理。</w:t>
      </w:r>
    </w:p>
    <w:p>
      <w:pPr>
        <w:pStyle w:val="146"/>
        <w:numPr>
          <w:ilvl w:val="1"/>
          <w:numId w:val="9"/>
        </w:numPr>
        <w:tabs>
          <w:tab w:val="left" w:pos="709"/>
        </w:tabs>
        <w:snapToGrid w:val="0"/>
        <w:ind w:left="709"/>
        <w:textAlignment w:val="auto"/>
      </w:pPr>
      <w:r>
        <w:rPr>
          <w:rFonts w:hint="eastAsia"/>
        </w:rPr>
        <w:t>违反26.1条、26.2的规定，给对方造成损失的，应承担赔偿责任。</w:t>
      </w:r>
    </w:p>
    <w:p>
      <w:pPr>
        <w:spacing w:line="240" w:lineRule="auto"/>
        <w:rPr>
          <w:rFonts w:ascii="宋体" w:hAnsi="宋体"/>
          <w:sz w:val="21"/>
          <w:szCs w:val="21"/>
        </w:rPr>
      </w:pPr>
    </w:p>
    <w:p>
      <w:pPr>
        <w:pStyle w:val="6"/>
      </w:pPr>
      <w:r>
        <w:rPr>
          <w:rFonts w:hint="eastAsia"/>
          <w:lang w:eastAsia="zh-CN"/>
        </w:rPr>
        <w:t>七</w:t>
      </w:r>
      <w:r>
        <w:rPr>
          <w:rFonts w:hint="eastAsia"/>
        </w:rPr>
        <w:t>、处罚、询问和质疑</w:t>
      </w:r>
    </w:p>
    <w:p>
      <w:pPr>
        <w:pStyle w:val="146"/>
        <w:numPr>
          <w:ilvl w:val="0"/>
          <w:numId w:val="9"/>
        </w:numPr>
        <w:ind w:left="709"/>
      </w:pPr>
      <w:r>
        <w:rPr>
          <w:rFonts w:hint="eastAsia"/>
        </w:rPr>
        <w:t>发生下列情况之一，供应商被列入不良记录名单，供应商今后参与同类政府采购项目的机会可能会受到影响：</w:t>
      </w:r>
    </w:p>
    <w:p>
      <w:pPr>
        <w:pStyle w:val="146"/>
        <w:numPr>
          <w:ilvl w:val="1"/>
          <w:numId w:val="9"/>
        </w:numPr>
        <w:tabs>
          <w:tab w:val="left" w:pos="709"/>
        </w:tabs>
        <w:snapToGrid w:val="0"/>
        <w:ind w:left="709"/>
        <w:textAlignment w:val="auto"/>
      </w:pPr>
      <w:r>
        <w:rPr>
          <w:rFonts w:hint="eastAsia"/>
        </w:rPr>
        <w:t>供应商在提交响应文件截止时间后撤回响应文件的；</w:t>
      </w:r>
    </w:p>
    <w:p>
      <w:pPr>
        <w:pStyle w:val="146"/>
        <w:numPr>
          <w:ilvl w:val="1"/>
          <w:numId w:val="9"/>
        </w:numPr>
        <w:tabs>
          <w:tab w:val="left" w:pos="709"/>
        </w:tabs>
        <w:snapToGrid w:val="0"/>
        <w:ind w:left="709"/>
        <w:textAlignment w:val="auto"/>
      </w:pPr>
      <w:r>
        <w:rPr>
          <w:rFonts w:hint="eastAsia"/>
        </w:rPr>
        <w:t>供应商在响应文件中提供虚假材料的；</w:t>
      </w:r>
    </w:p>
    <w:p>
      <w:pPr>
        <w:pStyle w:val="146"/>
        <w:numPr>
          <w:ilvl w:val="1"/>
          <w:numId w:val="9"/>
        </w:numPr>
        <w:tabs>
          <w:tab w:val="left" w:pos="709"/>
        </w:tabs>
        <w:snapToGrid w:val="0"/>
        <w:ind w:left="709"/>
        <w:textAlignment w:val="auto"/>
      </w:pPr>
      <w:r>
        <w:rPr>
          <w:rFonts w:hint="eastAsia"/>
        </w:rPr>
        <w:t>除因不可抗力或磋商文件认可的情形以外，成交供应商不与采购人签订合同的；</w:t>
      </w:r>
    </w:p>
    <w:p>
      <w:pPr>
        <w:pStyle w:val="146"/>
        <w:numPr>
          <w:ilvl w:val="1"/>
          <w:numId w:val="9"/>
        </w:numPr>
        <w:tabs>
          <w:tab w:val="left" w:pos="709"/>
        </w:tabs>
        <w:snapToGrid w:val="0"/>
        <w:ind w:left="709"/>
        <w:textAlignment w:val="auto"/>
      </w:pPr>
      <w:r>
        <w:rPr>
          <w:rFonts w:hint="eastAsia"/>
        </w:rPr>
        <w:t>供应商与采购人、其他供应商或者采购代理机构恶意串通的；</w:t>
      </w:r>
    </w:p>
    <w:p>
      <w:pPr>
        <w:pStyle w:val="146"/>
        <w:numPr>
          <w:ilvl w:val="1"/>
          <w:numId w:val="9"/>
        </w:numPr>
        <w:tabs>
          <w:tab w:val="left" w:pos="709"/>
        </w:tabs>
        <w:snapToGrid w:val="0"/>
        <w:ind w:left="709"/>
        <w:textAlignment w:val="auto"/>
      </w:pPr>
      <w:r>
        <w:rPr>
          <w:rFonts w:hint="eastAsia"/>
        </w:rPr>
        <w:t>磋商文件规定的其他情形。</w:t>
      </w:r>
    </w:p>
    <w:p>
      <w:pPr>
        <w:pStyle w:val="146"/>
        <w:textAlignment w:val="auto"/>
      </w:pPr>
    </w:p>
    <w:p>
      <w:pPr>
        <w:pStyle w:val="146"/>
        <w:numPr>
          <w:ilvl w:val="0"/>
          <w:numId w:val="9"/>
        </w:numPr>
        <w:ind w:left="709"/>
      </w:pPr>
      <w:r>
        <w:rPr>
          <w:rFonts w:hint="eastAsia"/>
        </w:rPr>
        <w:t>供应商有权就磋商事宜提出质疑</w:t>
      </w:r>
    </w:p>
    <w:p>
      <w:pPr>
        <w:pStyle w:val="146"/>
        <w:numPr>
          <w:ilvl w:val="1"/>
          <w:numId w:val="9"/>
        </w:numPr>
        <w:tabs>
          <w:tab w:val="left" w:pos="709"/>
        </w:tabs>
        <w:snapToGrid w:val="0"/>
        <w:ind w:left="709"/>
        <w:textAlignment w:val="auto"/>
      </w:pPr>
      <w:r>
        <w:rPr>
          <w:rFonts w:hint="eastAsia"/>
        </w:rPr>
        <w:t>供应商对磋商事项有疑问的，可以按照《中华人民共和国财政部令第94号文》政府采购质疑和投诉办法向采购人或采购代理机构提出询问。</w:t>
      </w:r>
    </w:p>
    <w:p>
      <w:pPr>
        <w:pStyle w:val="146"/>
        <w:numPr>
          <w:ilvl w:val="1"/>
          <w:numId w:val="9"/>
        </w:numPr>
        <w:tabs>
          <w:tab w:val="left" w:pos="709"/>
        </w:tabs>
        <w:snapToGrid w:val="0"/>
        <w:ind w:left="709"/>
        <w:textAlignment w:val="auto"/>
      </w:pPr>
      <w:r>
        <w:rPr>
          <w:rFonts w:hint="eastAsia"/>
        </w:rPr>
        <w:t>供应商对磋商文件条款或磋商货物技术要求有异议的，应当在响应截止时间前通过澄清或修改程序提出。供应商已经参与响应，并于响应截止时间后对磋商文件提出质疑的，其质疑应当被视为无效质疑。</w:t>
      </w:r>
    </w:p>
    <w:p>
      <w:pPr>
        <w:pStyle w:val="146"/>
        <w:numPr>
          <w:ilvl w:val="1"/>
          <w:numId w:val="9"/>
        </w:numPr>
        <w:tabs>
          <w:tab w:val="left" w:pos="709"/>
        </w:tabs>
        <w:snapToGrid w:val="0"/>
        <w:ind w:left="709"/>
        <w:textAlignment w:val="auto"/>
      </w:pPr>
      <w:r>
        <w:rPr>
          <w:rFonts w:hint="eastAsia"/>
        </w:rPr>
        <w:t xml:space="preserve">若供应商认为其响应未获公平评审或磋商过程和成交结果使自己的合法权益受到损害的，可以在知道或者应知其权益受到损害之日起7个工作日内提出质疑。 </w:t>
      </w:r>
    </w:p>
    <w:p>
      <w:pPr>
        <w:pStyle w:val="146"/>
        <w:numPr>
          <w:ilvl w:val="1"/>
          <w:numId w:val="9"/>
        </w:numPr>
        <w:tabs>
          <w:tab w:val="left" w:pos="709"/>
        </w:tabs>
        <w:snapToGrid w:val="0"/>
        <w:ind w:left="709"/>
        <w:textAlignment w:val="auto"/>
      </w:pPr>
      <w:r>
        <w:rPr>
          <w:rFonts w:hint="eastAsia"/>
        </w:rPr>
        <w:t>质疑应当按照《中华人民共和国财政部令第94号文》政府采购质疑和投诉办法的规定，以书面形式向采购人或采购代理机构提出，经法定代表人签字并加盖公章。</w:t>
      </w:r>
    </w:p>
    <w:p>
      <w:pPr>
        <w:pStyle w:val="146"/>
        <w:numPr>
          <w:ilvl w:val="1"/>
          <w:numId w:val="9"/>
        </w:numPr>
        <w:tabs>
          <w:tab w:val="left" w:pos="709"/>
        </w:tabs>
        <w:snapToGrid w:val="0"/>
        <w:ind w:left="709"/>
        <w:textAlignment w:val="auto"/>
      </w:pPr>
      <w:r>
        <w:rPr>
          <w:rFonts w:hint="eastAsia"/>
        </w:rPr>
        <w:t>质疑书应当包括以下主要内容：被质疑项目名称、项目编号、公告发布时间、质疑事项、法律依据（具体条款）、法定代表人签字并加盖供应商公章、有效联系方式（包括手机、邮箱号码）。按照“谁主张、谁举证”的原则，质疑书应当附上相关证明材料，否则质疑将视为无有效证据支持。</w:t>
      </w:r>
    </w:p>
    <w:p>
      <w:pPr>
        <w:pStyle w:val="146"/>
        <w:numPr>
          <w:ilvl w:val="1"/>
          <w:numId w:val="9"/>
        </w:numPr>
        <w:tabs>
          <w:tab w:val="left" w:pos="709"/>
        </w:tabs>
        <w:snapToGrid w:val="0"/>
        <w:ind w:left="709"/>
        <w:textAlignment w:val="auto"/>
      </w:pPr>
      <w:r>
        <w:rPr>
          <w:rFonts w:hint="eastAsia"/>
        </w:rPr>
        <w:t>有下列情形之一的，属于无效质疑，采购人或采购代理机构可不予受理：</w:t>
      </w:r>
    </w:p>
    <w:p>
      <w:pPr>
        <w:pStyle w:val="146"/>
        <w:numPr>
          <w:ilvl w:val="0"/>
          <w:numId w:val="17"/>
        </w:numPr>
        <w:textAlignment w:val="auto"/>
      </w:pPr>
      <w:r>
        <w:rPr>
          <w:rFonts w:hint="eastAsia"/>
        </w:rPr>
        <w:t>未在有效期限内提出质疑的；</w:t>
      </w:r>
    </w:p>
    <w:p>
      <w:pPr>
        <w:pStyle w:val="146"/>
        <w:numPr>
          <w:ilvl w:val="0"/>
          <w:numId w:val="17"/>
        </w:numPr>
        <w:textAlignment w:val="auto"/>
      </w:pPr>
      <w:r>
        <w:rPr>
          <w:rFonts w:hint="eastAsia"/>
        </w:rPr>
        <w:t>质疑未以书面形式提出的；</w:t>
      </w:r>
    </w:p>
    <w:p>
      <w:pPr>
        <w:pStyle w:val="146"/>
        <w:numPr>
          <w:ilvl w:val="0"/>
          <w:numId w:val="17"/>
        </w:numPr>
        <w:textAlignment w:val="auto"/>
      </w:pPr>
      <w:r>
        <w:rPr>
          <w:rFonts w:hint="eastAsia"/>
        </w:rPr>
        <w:t>所提交材料未明示具体、明确的质疑事项和与质疑相关的请求的；</w:t>
      </w:r>
    </w:p>
    <w:p>
      <w:pPr>
        <w:pStyle w:val="146"/>
        <w:numPr>
          <w:ilvl w:val="0"/>
          <w:numId w:val="17"/>
        </w:numPr>
        <w:textAlignment w:val="auto"/>
      </w:pPr>
      <w:r>
        <w:rPr>
          <w:rFonts w:hint="eastAsia"/>
        </w:rPr>
        <w:t>未提供事实依据和必要的法律依据的；</w:t>
      </w:r>
    </w:p>
    <w:p>
      <w:pPr>
        <w:pStyle w:val="146"/>
        <w:numPr>
          <w:ilvl w:val="0"/>
          <w:numId w:val="17"/>
        </w:numPr>
        <w:textAlignment w:val="auto"/>
      </w:pPr>
      <w:r>
        <w:rPr>
          <w:rFonts w:hint="eastAsia"/>
        </w:rPr>
        <w:t>质疑书没有法定代表人签署本人姓名和（或）印盖本人姓名章并加盖单位公章；质疑书由参加磋商项目的授权的供应商代表签署本人姓名和（或）印盖本人姓名章的，没有法定代表人的特别授权；质疑书加盖合同专用章的；</w:t>
      </w:r>
    </w:p>
    <w:p>
      <w:pPr>
        <w:pStyle w:val="146"/>
        <w:numPr>
          <w:ilvl w:val="0"/>
          <w:numId w:val="17"/>
        </w:numPr>
        <w:textAlignment w:val="auto"/>
      </w:pPr>
      <w:r>
        <w:rPr>
          <w:rFonts w:hint="eastAsia"/>
        </w:rPr>
        <w:t>质疑书未提供有效联系人或联系方式的；</w:t>
      </w:r>
    </w:p>
    <w:p>
      <w:pPr>
        <w:pStyle w:val="146"/>
        <w:numPr>
          <w:ilvl w:val="0"/>
          <w:numId w:val="17"/>
        </w:numPr>
        <w:textAlignment w:val="auto"/>
      </w:pPr>
      <w:r>
        <w:rPr>
          <w:rFonts w:hint="eastAsia"/>
        </w:rPr>
        <w:t>质疑事项已经进入投诉或者诉讼程序的；</w:t>
      </w:r>
    </w:p>
    <w:p>
      <w:pPr>
        <w:pStyle w:val="146"/>
        <w:numPr>
          <w:ilvl w:val="0"/>
          <w:numId w:val="17"/>
        </w:numPr>
        <w:textAlignment w:val="auto"/>
      </w:pPr>
      <w:r>
        <w:rPr>
          <w:rFonts w:hint="eastAsia"/>
        </w:rPr>
        <w:t>其它不符合受理条件的情形。</w:t>
      </w:r>
    </w:p>
    <w:p>
      <w:pPr>
        <w:pStyle w:val="146"/>
        <w:numPr>
          <w:ilvl w:val="1"/>
          <w:numId w:val="9"/>
        </w:numPr>
        <w:tabs>
          <w:tab w:val="left" w:pos="709"/>
        </w:tabs>
        <w:snapToGrid w:val="0"/>
        <w:ind w:left="709"/>
        <w:textAlignment w:val="auto"/>
      </w:pPr>
      <w:r>
        <w:rPr>
          <w:rFonts w:hint="eastAsia"/>
        </w:rPr>
        <w:t>采购人或采购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pPr>
        <w:pStyle w:val="146"/>
        <w:numPr>
          <w:ilvl w:val="1"/>
          <w:numId w:val="9"/>
        </w:numPr>
        <w:tabs>
          <w:tab w:val="left" w:pos="709"/>
        </w:tabs>
        <w:snapToGrid w:val="0"/>
        <w:ind w:left="709"/>
        <w:textAlignment w:val="auto"/>
      </w:pPr>
      <w:r>
        <w:rPr>
          <w:rFonts w:hint="eastAsia"/>
        </w:rPr>
        <w:t>质疑人有下列情形之一的，采购人或采购代理机构应驳回质疑：</w:t>
      </w:r>
    </w:p>
    <w:p>
      <w:pPr>
        <w:pStyle w:val="146"/>
        <w:numPr>
          <w:ilvl w:val="0"/>
          <w:numId w:val="18"/>
        </w:numPr>
        <w:textAlignment w:val="auto"/>
      </w:pPr>
      <w:r>
        <w:rPr>
          <w:rFonts w:hint="eastAsia"/>
        </w:rPr>
        <w:t>质疑缺乏事实和法律依据的；</w:t>
      </w:r>
    </w:p>
    <w:p>
      <w:pPr>
        <w:pStyle w:val="146"/>
        <w:numPr>
          <w:ilvl w:val="0"/>
          <w:numId w:val="18"/>
        </w:numPr>
        <w:textAlignment w:val="auto"/>
      </w:pPr>
      <w:r>
        <w:rPr>
          <w:rFonts w:hint="eastAsia"/>
        </w:rPr>
        <w:t>质疑人捏造事实、提供虚假材料，或在一定期限内多次质疑而无实据的；</w:t>
      </w:r>
    </w:p>
    <w:p>
      <w:pPr>
        <w:pStyle w:val="146"/>
        <w:numPr>
          <w:ilvl w:val="0"/>
          <w:numId w:val="18"/>
        </w:numPr>
        <w:textAlignment w:val="auto"/>
      </w:pPr>
      <w:r>
        <w:rPr>
          <w:rFonts w:hint="eastAsia"/>
        </w:rPr>
        <w:t>质疑已经处理并答复后，质疑人就同一事项又提起质疑且未提供新的有效证据的；</w:t>
      </w:r>
    </w:p>
    <w:p>
      <w:pPr>
        <w:pStyle w:val="146"/>
        <w:numPr>
          <w:ilvl w:val="0"/>
          <w:numId w:val="18"/>
        </w:numPr>
        <w:textAlignment w:val="auto"/>
      </w:pPr>
      <w:r>
        <w:rPr>
          <w:rFonts w:hint="eastAsia"/>
        </w:rPr>
        <w:t>其他根据相关法律、法规应当予以驳回的情形。</w:t>
      </w:r>
    </w:p>
    <w:p>
      <w:pPr>
        <w:pStyle w:val="146"/>
        <w:numPr>
          <w:ilvl w:val="1"/>
          <w:numId w:val="9"/>
        </w:numPr>
        <w:tabs>
          <w:tab w:val="left" w:pos="709"/>
        </w:tabs>
        <w:snapToGrid w:val="0"/>
        <w:ind w:left="709"/>
        <w:textAlignment w:val="auto"/>
      </w:pPr>
      <w:r>
        <w:rPr>
          <w:rFonts w:hint="eastAsia"/>
        </w:rPr>
        <w:t>供应商进行虚假和恶意质疑的，采购人可以提请有关部门将其列入不良记录名单，在一至三年内禁止参加政府采购活动，并将处理决定在相关政府采购媒体上公布。</w:t>
      </w:r>
    </w:p>
    <w:p>
      <w:pPr>
        <w:pStyle w:val="146"/>
        <w:numPr>
          <w:ilvl w:val="1"/>
          <w:numId w:val="9"/>
        </w:numPr>
        <w:tabs>
          <w:tab w:val="left" w:pos="709"/>
        </w:tabs>
        <w:snapToGrid w:val="0"/>
        <w:ind w:left="709"/>
      </w:pPr>
      <w:r>
        <w:rPr>
          <w:rFonts w:hint="eastAsia"/>
        </w:rPr>
        <w:t>质疑供应商对采购人或采购代理机构的答复不满意以及采购人或采购代理机构未在规定的时间内做出答复的，可以在答复期满后15个工作日内向财政部投诉。</w:t>
      </w:r>
    </w:p>
    <w:p>
      <w:pPr>
        <w:spacing w:line="240" w:lineRule="auto"/>
        <w:ind w:left="720" w:hanging="720"/>
        <w:jc w:val="both"/>
        <w:rPr>
          <w:rFonts w:ascii="宋体" w:hAnsi="宋体"/>
          <w:sz w:val="21"/>
          <w:szCs w:val="21"/>
        </w:rPr>
      </w:pPr>
    </w:p>
    <w:p>
      <w:pPr>
        <w:pStyle w:val="6"/>
      </w:pPr>
      <w:r>
        <w:rPr>
          <w:rFonts w:hint="eastAsia"/>
        </w:rPr>
        <w:t>九、保密和披露</w:t>
      </w:r>
    </w:p>
    <w:p>
      <w:pPr>
        <w:pStyle w:val="146"/>
        <w:numPr>
          <w:ilvl w:val="0"/>
          <w:numId w:val="19"/>
        </w:numPr>
        <w:tabs>
          <w:tab w:val="left" w:pos="0"/>
          <w:tab w:val="clear" w:pos="2553"/>
        </w:tabs>
        <w:adjustRightInd/>
        <w:ind w:left="426" w:hanging="425"/>
        <w:textAlignment w:val="auto"/>
      </w:pPr>
      <w:r>
        <w:rPr>
          <w:rFonts w:hint="eastAsia"/>
        </w:rPr>
        <w:t>保密和披露</w:t>
      </w:r>
    </w:p>
    <w:p>
      <w:pPr>
        <w:pStyle w:val="146"/>
        <w:numPr>
          <w:ilvl w:val="1"/>
          <w:numId w:val="19"/>
        </w:numPr>
        <w:adjustRightInd/>
        <w:textAlignment w:val="auto"/>
      </w:pPr>
      <w:r>
        <w:rPr>
          <w:rFonts w:hint="eastAsia"/>
        </w:rPr>
        <w:t>供应商自领取磋商文件之日起，须承诺承担本磋商项目下保密义务，不得将因本次磋商获得的信息向第三人外传。</w:t>
      </w:r>
    </w:p>
    <w:p>
      <w:pPr>
        <w:pStyle w:val="146"/>
        <w:numPr>
          <w:ilvl w:val="1"/>
          <w:numId w:val="19"/>
        </w:numPr>
        <w:adjustRightInd/>
        <w:textAlignment w:val="auto"/>
      </w:pPr>
      <w:r>
        <w:rPr>
          <w:rFonts w:hint="eastAsia"/>
        </w:rPr>
        <w:t>采购人有权将供应商提供的所有资料向有关政府部门或评审的有关人员披露。</w:t>
      </w:r>
    </w:p>
    <w:p>
      <w:pPr>
        <w:pStyle w:val="146"/>
        <w:tabs>
          <w:tab w:val="left" w:pos="709"/>
        </w:tabs>
        <w:ind w:left="709"/>
        <w:textAlignment w:val="auto"/>
      </w:pPr>
      <w:r>
        <w:rPr>
          <w:rFonts w:hint="eastAsia"/>
        </w:rPr>
        <w:t>在采购人认为适当时、国家机关调查、审查、审计时以及其他符合法律规定的情形下，采购人无须事先征求供应商/成交供应商同意而可以披露关于磋商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bookmarkEnd w:id="48"/>
    </w:p>
    <w:p>
      <w:pPr>
        <w:pStyle w:val="3"/>
      </w:pPr>
      <w:r>
        <w:rPr>
          <w:rFonts w:hint="eastAsia"/>
        </w:rPr>
        <w:br w:type="page"/>
      </w:r>
      <w:bookmarkStart w:id="51" w:name="_Toc28223"/>
      <w:r>
        <w:rPr>
          <w:rFonts w:hint="eastAsia"/>
        </w:rPr>
        <w:t>第四章  磋商程序及评审办法</w:t>
      </w:r>
      <w:bookmarkEnd w:id="51"/>
    </w:p>
    <w:p>
      <w:pPr>
        <w:pStyle w:val="146"/>
        <w:tabs>
          <w:tab w:val="left" w:pos="1200"/>
          <w:tab w:val="left" w:pos="1320"/>
          <w:tab w:val="clear" w:pos="2553"/>
        </w:tabs>
        <w:spacing w:line="460" w:lineRule="exact"/>
        <w:ind w:firstLine="420" w:firstLineChars="200"/>
        <w:textAlignment w:val="auto"/>
      </w:pPr>
      <w:r>
        <w:rPr>
          <w:rFonts w:hint="eastAsia"/>
        </w:rPr>
        <w:t>1、磋商方法：综合评分法。</w:t>
      </w:r>
    </w:p>
    <w:p>
      <w:pPr>
        <w:pStyle w:val="146"/>
        <w:tabs>
          <w:tab w:val="left" w:pos="1200"/>
          <w:tab w:val="left" w:pos="1320"/>
          <w:tab w:val="clear" w:pos="2553"/>
        </w:tabs>
        <w:spacing w:line="460" w:lineRule="exact"/>
        <w:ind w:firstLine="420" w:firstLineChars="200"/>
        <w:textAlignment w:val="auto"/>
      </w:pPr>
      <w:r>
        <w:rPr>
          <w:rFonts w:hint="eastAsia"/>
        </w:rPr>
        <w:t>2、综合评分的各项因素主要是：技术、商务、价格对磋商文件的响应程度等。</w:t>
      </w:r>
    </w:p>
    <w:p>
      <w:pPr>
        <w:pStyle w:val="146"/>
        <w:tabs>
          <w:tab w:val="left" w:pos="1200"/>
          <w:tab w:val="left" w:pos="1320"/>
          <w:tab w:val="clear" w:pos="2553"/>
        </w:tabs>
        <w:spacing w:line="460" w:lineRule="exact"/>
        <w:ind w:firstLine="420" w:firstLineChars="200"/>
        <w:textAlignment w:val="auto"/>
      </w:pPr>
      <w:r>
        <w:rPr>
          <w:rFonts w:hint="eastAsia"/>
        </w:rPr>
        <w:t>3</w:t>
      </w:r>
      <w:r>
        <w:rPr>
          <w:rFonts w:hint="eastAsia"/>
          <w:lang w:eastAsia="zh-CN"/>
        </w:rPr>
        <w:t>、</w:t>
      </w:r>
      <w:r>
        <w:rPr>
          <w:rFonts w:hint="eastAsia"/>
        </w:rPr>
        <w:t>磋商小组负责评审工作，并根据磋商文件的要求对响应文件进行审核、评估和比较。</w:t>
      </w:r>
    </w:p>
    <w:p>
      <w:pPr>
        <w:pStyle w:val="146"/>
        <w:tabs>
          <w:tab w:val="left" w:pos="1200"/>
          <w:tab w:val="left" w:pos="1320"/>
          <w:tab w:val="clear" w:pos="2553"/>
        </w:tabs>
        <w:spacing w:line="460" w:lineRule="exact"/>
        <w:ind w:firstLine="420" w:firstLineChars="200"/>
        <w:textAlignment w:val="auto"/>
      </w:pPr>
      <w:r>
        <w:rPr>
          <w:rFonts w:hint="eastAsia"/>
        </w:rPr>
        <w:t>4、评审程序：</w:t>
      </w:r>
    </w:p>
    <w:p>
      <w:pPr>
        <w:pStyle w:val="146"/>
        <w:tabs>
          <w:tab w:val="left" w:pos="1200"/>
          <w:tab w:val="left" w:pos="1320"/>
          <w:tab w:val="clear" w:pos="2553"/>
        </w:tabs>
        <w:spacing w:line="460" w:lineRule="exact"/>
        <w:ind w:firstLine="420" w:firstLineChars="200"/>
        <w:textAlignment w:val="auto"/>
      </w:pPr>
      <w:r>
        <w:rPr>
          <w:rFonts w:hint="eastAsia"/>
        </w:rPr>
        <w:t>4.1响应文件的初审</w:t>
      </w:r>
    </w:p>
    <w:p>
      <w:pPr>
        <w:pStyle w:val="146"/>
        <w:tabs>
          <w:tab w:val="left" w:pos="1200"/>
          <w:tab w:val="left" w:pos="1320"/>
        </w:tabs>
        <w:spacing w:line="460" w:lineRule="exact"/>
        <w:ind w:firstLine="420" w:firstLineChars="200"/>
        <w:textAlignment w:val="auto"/>
        <w:rPr>
          <w:b/>
          <w:spacing w:val="10"/>
        </w:rPr>
      </w:pPr>
      <w:r>
        <w:rPr>
          <w:rFonts w:hint="eastAsia"/>
          <w:bCs/>
        </w:rPr>
        <w:t>响应文件的初审分为“资格性检查”和“符合性检查”，检查内容详见磋商文件第七章“资格性检查响应对照表、符合性检查响应对照表”。</w:t>
      </w:r>
      <w:r>
        <w:rPr>
          <w:rFonts w:hint="eastAsia"/>
          <w:spacing w:val="10"/>
        </w:rPr>
        <w:t>供应商不得通过修正或撤销不合要求的偏离或保留，从而使其响应成为实质上的响应。</w:t>
      </w:r>
      <w:r>
        <w:rPr>
          <w:rFonts w:hint="eastAsia"/>
          <w:b/>
          <w:spacing w:val="10"/>
        </w:rPr>
        <w:t>如发现下列情况之一的，其响应将被拒绝：</w:t>
      </w:r>
    </w:p>
    <w:p>
      <w:pPr>
        <w:pStyle w:val="146"/>
        <w:tabs>
          <w:tab w:val="left" w:pos="1200"/>
          <w:tab w:val="left" w:pos="1320"/>
        </w:tabs>
        <w:spacing w:line="460" w:lineRule="exact"/>
        <w:ind w:firstLine="462" w:firstLineChars="200"/>
        <w:textAlignment w:val="auto"/>
        <w:rPr>
          <w:b/>
          <w:spacing w:val="10"/>
        </w:rPr>
      </w:pPr>
      <w:r>
        <w:rPr>
          <w:rFonts w:hint="eastAsia"/>
          <w:b/>
          <w:spacing w:val="10"/>
        </w:rPr>
        <w:t>1）响应文件实质性内容不齐全，不清晰的；</w:t>
      </w:r>
    </w:p>
    <w:p>
      <w:pPr>
        <w:pStyle w:val="146"/>
        <w:tabs>
          <w:tab w:val="left" w:pos="1200"/>
          <w:tab w:val="left" w:pos="1320"/>
        </w:tabs>
        <w:spacing w:line="460" w:lineRule="exact"/>
        <w:ind w:firstLine="462" w:firstLineChars="200"/>
        <w:textAlignment w:val="auto"/>
        <w:rPr>
          <w:b/>
          <w:spacing w:val="10"/>
        </w:rPr>
      </w:pPr>
      <w:r>
        <w:rPr>
          <w:rFonts w:hint="eastAsia"/>
          <w:b/>
          <w:spacing w:val="10"/>
        </w:rPr>
        <w:t>2）磋商文件第二章“供应商须知前附表”第4、5条“供应商应提交的商务和技术、服务文件”中，带*的文件不全、不清晰、无效的；</w:t>
      </w:r>
    </w:p>
    <w:p>
      <w:pPr>
        <w:pStyle w:val="146"/>
        <w:tabs>
          <w:tab w:val="left" w:pos="1200"/>
          <w:tab w:val="left" w:pos="1320"/>
        </w:tabs>
        <w:spacing w:line="460" w:lineRule="exact"/>
        <w:ind w:firstLine="462" w:firstLineChars="200"/>
        <w:textAlignment w:val="auto"/>
        <w:rPr>
          <w:b/>
          <w:spacing w:val="10"/>
        </w:rPr>
      </w:pPr>
      <w:r>
        <w:rPr>
          <w:rFonts w:hint="eastAsia"/>
          <w:b/>
          <w:spacing w:val="10"/>
        </w:rPr>
        <w:t>3）资格证明文件不全、不清晰、无效的；</w:t>
      </w:r>
    </w:p>
    <w:p>
      <w:pPr>
        <w:pStyle w:val="146"/>
        <w:tabs>
          <w:tab w:val="left" w:pos="1200"/>
          <w:tab w:val="left" w:pos="1320"/>
        </w:tabs>
        <w:spacing w:line="460" w:lineRule="exact"/>
        <w:ind w:firstLine="462" w:firstLineChars="200"/>
        <w:textAlignment w:val="auto"/>
        <w:rPr>
          <w:b/>
          <w:spacing w:val="10"/>
        </w:rPr>
      </w:pPr>
      <w:r>
        <w:rPr>
          <w:rFonts w:hint="eastAsia"/>
          <w:b/>
          <w:spacing w:val="10"/>
        </w:rPr>
        <w:t>4）响应文件未按磋商文件要求签署、盖章的；</w:t>
      </w:r>
    </w:p>
    <w:p>
      <w:pPr>
        <w:pStyle w:val="146"/>
        <w:tabs>
          <w:tab w:val="left" w:pos="1200"/>
          <w:tab w:val="left" w:pos="1320"/>
        </w:tabs>
        <w:spacing w:line="460" w:lineRule="exact"/>
        <w:ind w:firstLine="462" w:firstLineChars="200"/>
        <w:textAlignment w:val="auto"/>
        <w:rPr>
          <w:b/>
          <w:spacing w:val="10"/>
        </w:rPr>
      </w:pPr>
      <w:r>
        <w:rPr>
          <w:rFonts w:hint="eastAsia"/>
          <w:b/>
          <w:spacing w:val="10"/>
        </w:rPr>
        <w:t>5）响应有效期不足的；</w:t>
      </w:r>
    </w:p>
    <w:p>
      <w:pPr>
        <w:pStyle w:val="146"/>
        <w:tabs>
          <w:tab w:val="left" w:pos="1200"/>
          <w:tab w:val="left" w:pos="1320"/>
        </w:tabs>
        <w:spacing w:line="460" w:lineRule="exact"/>
        <w:ind w:firstLine="462" w:firstLineChars="200"/>
        <w:textAlignment w:val="auto"/>
        <w:rPr>
          <w:b/>
          <w:spacing w:val="10"/>
        </w:rPr>
      </w:pPr>
      <w:r>
        <w:rPr>
          <w:rFonts w:hint="eastAsia"/>
          <w:b/>
          <w:spacing w:val="10"/>
        </w:rPr>
        <w:t>6）响应文件附有采购人不能接受的条件；</w:t>
      </w:r>
    </w:p>
    <w:p>
      <w:pPr>
        <w:pStyle w:val="146"/>
        <w:tabs>
          <w:tab w:val="left" w:pos="1200"/>
          <w:tab w:val="left" w:pos="1320"/>
        </w:tabs>
        <w:spacing w:line="460" w:lineRule="exact"/>
        <w:ind w:firstLine="462" w:firstLineChars="200"/>
        <w:textAlignment w:val="auto"/>
        <w:rPr>
          <w:spacing w:val="10"/>
        </w:rPr>
      </w:pPr>
      <w:r>
        <w:rPr>
          <w:rFonts w:hint="eastAsia"/>
          <w:b/>
          <w:spacing w:val="10"/>
        </w:rPr>
        <w:t>7）磋商文件规定其它应审查的内容。</w:t>
      </w:r>
    </w:p>
    <w:p>
      <w:pPr>
        <w:pStyle w:val="146"/>
        <w:tabs>
          <w:tab w:val="left" w:pos="1200"/>
          <w:tab w:val="left" w:pos="1320"/>
          <w:tab w:val="clear" w:pos="2553"/>
        </w:tabs>
        <w:spacing w:line="460" w:lineRule="exact"/>
        <w:ind w:firstLine="420" w:firstLineChars="200"/>
        <w:textAlignment w:val="auto"/>
      </w:pPr>
      <w:r>
        <w:rPr>
          <w:rFonts w:hint="eastAsia"/>
        </w:rPr>
        <w:t>4.2响应文件的澄清</w:t>
      </w:r>
    </w:p>
    <w:p>
      <w:pPr>
        <w:pStyle w:val="146"/>
        <w:tabs>
          <w:tab w:val="left" w:pos="1200"/>
          <w:tab w:val="left" w:pos="1320"/>
          <w:tab w:val="clear" w:pos="2553"/>
        </w:tabs>
        <w:spacing w:line="460" w:lineRule="exact"/>
        <w:ind w:firstLine="420" w:firstLineChars="200"/>
        <w:textAlignment w:val="auto"/>
      </w:pPr>
      <w:r>
        <w:rPr>
          <w:rFonts w:hint="eastAsia"/>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6"/>
        <w:tabs>
          <w:tab w:val="left" w:pos="1200"/>
          <w:tab w:val="left" w:pos="1320"/>
          <w:tab w:val="clear" w:pos="2553"/>
        </w:tabs>
        <w:spacing w:line="460" w:lineRule="exact"/>
        <w:ind w:firstLine="420" w:firstLineChars="200"/>
        <w:textAlignment w:val="auto"/>
      </w:pPr>
      <w:r>
        <w:rPr>
          <w:rFonts w:hint="eastAsia"/>
        </w:rPr>
        <w:t>4.3响应文件的详细评审。（对初审合格的供应商，从技术、商务、价格对磋商文件的响应程度进行打分）</w:t>
      </w:r>
    </w:p>
    <w:p>
      <w:pPr>
        <w:pStyle w:val="146"/>
        <w:tabs>
          <w:tab w:val="left" w:pos="1200"/>
          <w:tab w:val="left" w:pos="1320"/>
          <w:tab w:val="clear" w:pos="2553"/>
        </w:tabs>
        <w:spacing w:line="460" w:lineRule="exact"/>
        <w:ind w:firstLine="420" w:firstLineChars="200"/>
        <w:textAlignment w:val="auto"/>
      </w:pPr>
      <w:r>
        <w:rPr>
          <w:rFonts w:hint="eastAsia"/>
        </w:rPr>
        <w:t>1）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r>
        <w:rPr>
          <w:rFonts w:hint="eastAsia"/>
          <w:b/>
        </w:rPr>
        <w:t>无效响应处理</w:t>
      </w:r>
      <w:r>
        <w:rPr>
          <w:rFonts w:hint="eastAsia"/>
        </w:rPr>
        <w:t>。</w:t>
      </w:r>
    </w:p>
    <w:p>
      <w:pPr>
        <w:pStyle w:val="146"/>
        <w:tabs>
          <w:tab w:val="left" w:pos="1200"/>
          <w:tab w:val="left" w:pos="1320"/>
          <w:tab w:val="clear" w:pos="2553"/>
        </w:tabs>
        <w:spacing w:line="460" w:lineRule="exact"/>
        <w:ind w:firstLine="420" w:firstLineChars="200"/>
        <w:textAlignment w:val="auto"/>
      </w:pPr>
      <w:r>
        <w:rPr>
          <w:rFonts w:hint="eastAsia"/>
        </w:rPr>
        <w:t>2）供应商接到磋商小组发出的问题澄清通知后，应按磋商小组的要求提供书面澄清资料在规定的时间递交到指定地点。</w:t>
      </w:r>
    </w:p>
    <w:p>
      <w:pPr>
        <w:pStyle w:val="146"/>
        <w:tabs>
          <w:tab w:val="left" w:pos="1200"/>
          <w:tab w:val="left" w:pos="1320"/>
          <w:tab w:val="clear" w:pos="2553"/>
        </w:tabs>
        <w:spacing w:line="460" w:lineRule="exact"/>
        <w:ind w:firstLine="420" w:firstLineChars="200"/>
        <w:textAlignment w:val="auto"/>
      </w:pPr>
      <w:r>
        <w:rPr>
          <w:rFonts w:hint="eastAsia"/>
        </w:rPr>
        <w:t>5、计分办法</w:t>
      </w:r>
    </w:p>
    <w:p>
      <w:pPr>
        <w:pStyle w:val="146"/>
        <w:tabs>
          <w:tab w:val="left" w:pos="1200"/>
          <w:tab w:val="left" w:pos="1320"/>
          <w:tab w:val="clear" w:pos="2553"/>
        </w:tabs>
        <w:spacing w:line="460" w:lineRule="exact"/>
        <w:ind w:firstLine="420" w:firstLineChars="200"/>
        <w:textAlignment w:val="auto"/>
      </w:pPr>
      <w:r>
        <w:rPr>
          <w:rFonts w:hint="eastAsia"/>
        </w:rPr>
        <w:t>5.1磋商小组将对合格供应商进行综合评审并进行打分。</w:t>
      </w:r>
    </w:p>
    <w:p>
      <w:pPr>
        <w:pStyle w:val="146"/>
        <w:tabs>
          <w:tab w:val="left" w:pos="1200"/>
          <w:tab w:val="left" w:pos="1320"/>
          <w:tab w:val="clear" w:pos="2553"/>
        </w:tabs>
        <w:spacing w:line="460" w:lineRule="exact"/>
        <w:ind w:firstLine="420" w:firstLineChars="200"/>
        <w:textAlignment w:val="auto"/>
      </w:pPr>
      <w:r>
        <w:rPr>
          <w:rFonts w:hint="eastAsia"/>
        </w:rPr>
        <w:t>5.2由</w:t>
      </w:r>
      <w:r>
        <w:rPr>
          <w:rFonts w:hint="eastAsia"/>
          <w:lang w:eastAsia="zh-CN"/>
        </w:rPr>
        <w:t>监督人员</w:t>
      </w:r>
      <w:r>
        <w:rPr>
          <w:rFonts w:hint="eastAsia"/>
        </w:rPr>
        <w:t>负责分数统计工作，磋商小组组长负责审核。</w:t>
      </w:r>
    </w:p>
    <w:p>
      <w:pPr>
        <w:pStyle w:val="146"/>
        <w:tabs>
          <w:tab w:val="left" w:pos="1200"/>
          <w:tab w:val="left" w:pos="1320"/>
          <w:tab w:val="clear" w:pos="2553"/>
        </w:tabs>
        <w:spacing w:line="460" w:lineRule="exact"/>
        <w:ind w:firstLine="420" w:firstLineChars="200"/>
        <w:textAlignment w:val="auto"/>
      </w:pPr>
      <w:r>
        <w:rPr>
          <w:rFonts w:hint="eastAsia"/>
        </w:rPr>
        <w:t>5.3当供应商总得分相同时，以响应价格低者排位在前；若两个供应商总得分相同，响应价格也相同，以技术得分高者排位在前。若两个供应商总得分相同，响应价格、技术得分也相同，则由采购人以公平公正的方法选择成交候选人。</w:t>
      </w:r>
    </w:p>
    <w:p>
      <w:pPr>
        <w:pStyle w:val="146"/>
        <w:tabs>
          <w:tab w:val="left" w:pos="1200"/>
          <w:tab w:val="left" w:pos="1320"/>
          <w:tab w:val="clear" w:pos="2553"/>
        </w:tabs>
        <w:spacing w:line="460" w:lineRule="exact"/>
        <w:ind w:firstLine="420" w:firstLineChars="200"/>
        <w:textAlignment w:val="auto"/>
      </w:pPr>
      <w:r>
        <w:rPr>
          <w:rFonts w:hint="eastAsia"/>
        </w:rPr>
        <w:t>6、评审结论</w:t>
      </w:r>
    </w:p>
    <w:p>
      <w:pPr>
        <w:pStyle w:val="146"/>
        <w:tabs>
          <w:tab w:val="left" w:pos="1200"/>
          <w:tab w:val="left" w:pos="1320"/>
          <w:tab w:val="clear" w:pos="2553"/>
        </w:tabs>
        <w:spacing w:line="460" w:lineRule="exact"/>
        <w:ind w:firstLine="420" w:firstLineChars="200"/>
        <w:textAlignment w:val="auto"/>
      </w:pPr>
      <w:r>
        <w:rPr>
          <w:rFonts w:hint="eastAsia"/>
        </w:rPr>
        <w:t>6.1各磋商小组成员对供应商的打分的总得分即为供应商的最终得分，分值最高的前三名将推荐为成交候选人。</w:t>
      </w:r>
    </w:p>
    <w:p>
      <w:pPr>
        <w:pStyle w:val="146"/>
        <w:tabs>
          <w:tab w:val="left" w:pos="1200"/>
          <w:tab w:val="left" w:pos="1320"/>
          <w:tab w:val="clear" w:pos="2553"/>
        </w:tabs>
        <w:spacing w:line="460" w:lineRule="exact"/>
        <w:ind w:firstLine="420" w:firstLineChars="200"/>
        <w:textAlignment w:val="auto"/>
      </w:pPr>
      <w:r>
        <w:rPr>
          <w:rFonts w:hint="eastAsia"/>
        </w:rPr>
        <w:t>6.2供应商的最低响应报价不能作为成交的唯一依据。</w:t>
      </w:r>
    </w:p>
    <w:p>
      <w:pPr>
        <w:pStyle w:val="146"/>
        <w:tabs>
          <w:tab w:val="left" w:pos="1200"/>
          <w:tab w:val="left" w:pos="1320"/>
          <w:tab w:val="clear" w:pos="2553"/>
        </w:tabs>
        <w:spacing w:line="460" w:lineRule="exact"/>
        <w:ind w:firstLine="420" w:firstLineChars="200"/>
        <w:textAlignment w:val="auto"/>
      </w:pPr>
      <w:r>
        <w:rPr>
          <w:rFonts w:hint="eastAsia"/>
        </w:rPr>
        <w:t>7、评分细则（详见磋商文件第七章“评分细则响应对照表”）</w:t>
      </w:r>
    </w:p>
    <w:p>
      <w:pPr>
        <w:pStyle w:val="3"/>
      </w:pPr>
      <w:r>
        <w:br w:type="page"/>
      </w:r>
      <w:bookmarkStart w:id="52" w:name="_Toc2280"/>
      <w:r>
        <w:rPr>
          <w:rFonts w:hint="eastAsia"/>
        </w:rPr>
        <w:t>第五章</w:t>
      </w:r>
      <w:r>
        <w:t xml:space="preserve">  </w:t>
      </w:r>
      <w:r>
        <w:rPr>
          <w:rFonts w:hint="eastAsia"/>
        </w:rPr>
        <w:t>磋商内容及要求</w:t>
      </w:r>
      <w:bookmarkEnd w:id="52"/>
    </w:p>
    <w:p>
      <w:pPr>
        <w:adjustRightInd/>
        <w:spacing w:line="276" w:lineRule="auto"/>
        <w:jc w:val="both"/>
        <w:textAlignment w:val="auto"/>
        <w:rPr>
          <w:rFonts w:hint="eastAsia" w:ascii="宋体" w:hAnsi="宋体" w:cs="新宋体"/>
          <w:b/>
          <w:sz w:val="22"/>
          <w:szCs w:val="22"/>
        </w:rPr>
      </w:pPr>
      <w:r>
        <w:rPr>
          <w:rFonts w:hint="eastAsia" w:ascii="宋体" w:hAnsi="宋体" w:cs="新宋体"/>
          <w:b/>
          <w:sz w:val="22"/>
          <w:szCs w:val="22"/>
        </w:rPr>
        <w:t>具体采购清单、功能要求如下表：</w:t>
      </w:r>
    </w:p>
    <w:tbl>
      <w:tblPr>
        <w:tblStyle w:val="34"/>
        <w:tblW w:w="9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06"/>
        <w:gridCol w:w="1103"/>
        <w:gridCol w:w="5172"/>
        <w:gridCol w:w="1242"/>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9434" w:type="dxa"/>
            <w:gridSpan w:val="6"/>
            <w:noWrap w:val="0"/>
            <w:vAlign w:val="center"/>
          </w:tcPr>
          <w:p>
            <w:pPr>
              <w:widowControl/>
              <w:jc w:val="both"/>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一、软件部分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806"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产品名称</w:t>
            </w:r>
          </w:p>
        </w:tc>
        <w:tc>
          <w:tcPr>
            <w:tcW w:w="1103"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规格型号</w:t>
            </w:r>
          </w:p>
        </w:tc>
        <w:tc>
          <w:tcPr>
            <w:tcW w:w="5172"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功能模块</w:t>
            </w:r>
          </w:p>
        </w:tc>
        <w:tc>
          <w:tcPr>
            <w:tcW w:w="1242"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674"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806" w:type="dxa"/>
            <w:vMerge w:val="restart"/>
            <w:noWrap w:val="0"/>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票务分销</w:t>
            </w: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用户中心</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个人信息、企业管理、检票终端管理、消息管理、发票申请管理.</w:t>
            </w:r>
          </w:p>
        </w:tc>
        <w:tc>
          <w:tcPr>
            <w:tcW w:w="1242" w:type="dxa"/>
            <w:vMerge w:val="restart"/>
            <w:noWrap w:val="0"/>
            <w:vAlign w:val="center"/>
          </w:tcPr>
          <w:p>
            <w:pPr>
              <w:widowControl/>
              <w:jc w:val="center"/>
              <w:rPr>
                <w:rFonts w:hint="eastAsia" w:ascii="宋体" w:hAnsi="宋体" w:cs="宋体"/>
                <w:kern w:val="0"/>
                <w:sz w:val="20"/>
              </w:rPr>
            </w:pPr>
            <w:r>
              <w:rPr>
                <w:rFonts w:hint="eastAsia" w:ascii="宋体" w:hAnsi="宋体" w:cs="宋体"/>
                <w:kern w:val="0"/>
                <w:sz w:val="20"/>
              </w:rPr>
              <w:t>套</w:t>
            </w:r>
          </w:p>
        </w:tc>
        <w:tc>
          <w:tcPr>
            <w:tcW w:w="674" w:type="dxa"/>
            <w:vMerge w:val="restart"/>
            <w:noWrap w:val="0"/>
            <w:vAlign w:val="center"/>
          </w:tcPr>
          <w:p>
            <w:pPr>
              <w:widowControl/>
              <w:jc w:val="center"/>
              <w:rPr>
                <w:rFonts w:hint="eastAsia"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产品中心</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产品管理、支付宝优惠券、库存管理、游船基础信息、游船产品管理、销售码管理、退票管理、酒店管理、演出管理、餐饮管理、剧院管理（景区模式）、剧院NET标准</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订单中心</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订单管理、检票管理、退票管理、订单短彩信、酒店搬单管理</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结算中心</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备用金账户、交易结算查询、第三方结算查询</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报表中心</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营业报表、图表统计</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37"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806"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C端商城</w:t>
            </w:r>
          </w:p>
        </w:tc>
        <w:tc>
          <w:tcPr>
            <w:tcW w:w="1103" w:type="dxa"/>
            <w:noWrap w:val="0"/>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rPr>
              <w:t>商城</w:t>
            </w:r>
            <w:r>
              <w:rPr>
                <w:rFonts w:hint="eastAsia" w:ascii="宋体" w:hAnsi="宋体" w:cs="宋体"/>
                <w:kern w:val="0"/>
                <w:sz w:val="20"/>
                <w:lang w:val="en-US" w:eastAsia="zh-CN"/>
              </w:rPr>
              <w:t>首页</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网站首页页面模板、网站常规内页页面设计，页面功能等</w:t>
            </w:r>
          </w:p>
        </w:tc>
        <w:tc>
          <w:tcPr>
            <w:tcW w:w="1242" w:type="dxa"/>
            <w:vMerge w:val="restart"/>
            <w:noWrap w:val="0"/>
            <w:vAlign w:val="center"/>
          </w:tcPr>
          <w:p>
            <w:pPr>
              <w:widowControl/>
              <w:jc w:val="center"/>
              <w:rPr>
                <w:rFonts w:hint="eastAsia" w:ascii="宋体" w:hAnsi="宋体" w:cs="宋体"/>
                <w:kern w:val="0"/>
                <w:sz w:val="20"/>
              </w:rPr>
            </w:pPr>
            <w:r>
              <w:rPr>
                <w:rFonts w:hint="eastAsia" w:ascii="宋体" w:hAnsi="宋体" w:cs="宋体"/>
                <w:kern w:val="0"/>
                <w:sz w:val="20"/>
              </w:rPr>
              <w:t>套</w:t>
            </w:r>
          </w:p>
        </w:tc>
        <w:tc>
          <w:tcPr>
            <w:tcW w:w="674" w:type="dxa"/>
            <w:vMerge w:val="restart"/>
            <w:noWrap w:val="0"/>
            <w:vAlign w:val="center"/>
          </w:tcPr>
          <w:p>
            <w:pPr>
              <w:widowControl/>
              <w:jc w:val="center"/>
              <w:rPr>
                <w:rFonts w:hint="eastAsia"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rPr>
              <w:t>景区</w:t>
            </w:r>
            <w:r>
              <w:rPr>
                <w:rFonts w:hint="eastAsia" w:ascii="宋体" w:hAnsi="宋体" w:cs="宋体"/>
                <w:kern w:val="0"/>
                <w:sz w:val="20"/>
                <w:lang w:val="en-US" w:eastAsia="zh-CN"/>
              </w:rPr>
              <w:t>管理</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景区基础信息维护，票型信息、售票规则、日历价格库存维护，支持在线预订</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基础订单管理</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管理店铺订单、退单管理</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基础数据报表</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管理店铺营业报表、分销营业报表、检票报表</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7" w:type="dxa"/>
            <w:vMerge w:val="continue"/>
            <w:shd w:val="clear" w:color="auto" w:fill="auto"/>
            <w:noWrap w:val="0"/>
            <w:vAlign w:val="center"/>
          </w:tcPr>
          <w:p>
            <w:pPr>
              <w:widowControl/>
              <w:jc w:val="left"/>
              <w:rPr>
                <w:rFonts w:ascii="宋体" w:hAnsi="宋体" w:cs="宋体"/>
                <w:kern w:val="0"/>
                <w:sz w:val="22"/>
                <w:szCs w:val="22"/>
              </w:rPr>
            </w:pPr>
          </w:p>
        </w:tc>
        <w:tc>
          <w:tcPr>
            <w:tcW w:w="806" w:type="dxa"/>
            <w:vMerge w:val="continue"/>
            <w:shd w:val="clear" w:color="auto" w:fill="auto"/>
            <w:noWrap w:val="0"/>
            <w:vAlign w:val="center"/>
          </w:tcPr>
          <w:p>
            <w:pPr>
              <w:widowControl/>
              <w:jc w:val="left"/>
              <w:rPr>
                <w:rFonts w:ascii="宋体" w:hAnsi="宋体" w:cs="宋体"/>
                <w:kern w:val="0"/>
                <w:sz w:val="22"/>
                <w:szCs w:val="22"/>
              </w:rPr>
            </w:pPr>
          </w:p>
        </w:tc>
        <w:tc>
          <w:tcPr>
            <w:tcW w:w="1103" w:type="dxa"/>
            <w:shd w:val="clear" w:color="auto" w:fill="auto"/>
            <w:noWrap w:val="0"/>
            <w:vAlign w:val="center"/>
          </w:tcPr>
          <w:p>
            <w:pPr>
              <w:widowControl/>
              <w:jc w:val="center"/>
              <w:rPr>
                <w:rFonts w:hint="eastAsia" w:ascii="宋体" w:hAnsi="宋体" w:cs="宋体"/>
                <w:kern w:val="0"/>
                <w:sz w:val="20"/>
              </w:rPr>
            </w:pPr>
            <w:r>
              <w:rPr>
                <w:rFonts w:hint="eastAsia" w:ascii="宋体" w:hAnsi="宋体" w:cs="宋体"/>
                <w:kern w:val="0"/>
                <w:sz w:val="20"/>
              </w:rPr>
              <w:t>微信公众号</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配套提供微信公众（H5）页面</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37" w:type="dxa"/>
            <w:vMerge w:val="continue"/>
            <w:shd w:val="clear" w:color="auto" w:fill="auto"/>
            <w:noWrap w:val="0"/>
            <w:vAlign w:val="center"/>
          </w:tcPr>
          <w:p>
            <w:pPr>
              <w:widowControl/>
              <w:jc w:val="left"/>
              <w:rPr>
                <w:rFonts w:ascii="宋体" w:hAnsi="宋体" w:cs="宋体"/>
                <w:kern w:val="0"/>
                <w:sz w:val="22"/>
                <w:szCs w:val="22"/>
              </w:rPr>
            </w:pPr>
          </w:p>
        </w:tc>
        <w:tc>
          <w:tcPr>
            <w:tcW w:w="806" w:type="dxa"/>
            <w:vMerge w:val="continue"/>
            <w:shd w:val="clear" w:color="auto" w:fill="auto"/>
            <w:noWrap w:val="0"/>
            <w:vAlign w:val="center"/>
          </w:tcPr>
          <w:p>
            <w:pPr>
              <w:widowControl/>
              <w:jc w:val="left"/>
              <w:rPr>
                <w:rFonts w:ascii="宋体" w:hAnsi="宋体" w:cs="宋体"/>
                <w:kern w:val="0"/>
                <w:sz w:val="22"/>
                <w:szCs w:val="22"/>
              </w:rPr>
            </w:pPr>
          </w:p>
        </w:tc>
        <w:tc>
          <w:tcPr>
            <w:tcW w:w="1103" w:type="dxa"/>
            <w:shd w:val="clear" w:color="auto" w:fill="auto"/>
            <w:noWrap w:val="0"/>
            <w:vAlign w:val="center"/>
          </w:tcPr>
          <w:p>
            <w:pPr>
              <w:widowControl/>
              <w:jc w:val="center"/>
              <w:rPr>
                <w:rFonts w:hint="eastAsia" w:ascii="宋体" w:hAnsi="宋体" w:cs="宋体"/>
                <w:kern w:val="0"/>
                <w:sz w:val="20"/>
              </w:rPr>
            </w:pPr>
            <w:r>
              <w:rPr>
                <w:rFonts w:hint="eastAsia" w:ascii="宋体" w:hAnsi="宋体" w:cs="宋体"/>
                <w:kern w:val="0"/>
                <w:sz w:val="20"/>
              </w:rPr>
              <w:t>营销玩法</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优惠券、买即送</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37"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806"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电子票务</w:t>
            </w:r>
            <w:r>
              <w:rPr>
                <w:rFonts w:hint="eastAsia" w:ascii="宋体" w:hAnsi="宋体" w:cs="宋体"/>
                <w:kern w:val="0"/>
                <w:sz w:val="22"/>
                <w:szCs w:val="22"/>
                <w:lang w:val="en-US" w:eastAsia="zh-CN"/>
              </w:rPr>
              <w:t>管理</w:t>
            </w:r>
            <w:r>
              <w:rPr>
                <w:rFonts w:hint="eastAsia" w:ascii="宋体" w:hAnsi="宋体" w:cs="宋体"/>
                <w:kern w:val="0"/>
                <w:sz w:val="22"/>
                <w:szCs w:val="22"/>
              </w:rPr>
              <w:t>系统</w:t>
            </w: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系统管理子系统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售检退日报导出，操作日志，图片上传</w:t>
            </w:r>
          </w:p>
        </w:tc>
        <w:tc>
          <w:tcPr>
            <w:tcW w:w="1242" w:type="dxa"/>
            <w:vMerge w:val="restart"/>
            <w:noWrap w:val="0"/>
            <w:vAlign w:val="center"/>
          </w:tcPr>
          <w:p>
            <w:pPr>
              <w:widowControl/>
              <w:jc w:val="center"/>
              <w:rPr>
                <w:rFonts w:hint="eastAsia" w:ascii="宋体" w:hAnsi="宋体" w:cs="宋体"/>
                <w:kern w:val="0"/>
                <w:sz w:val="20"/>
              </w:rPr>
            </w:pPr>
            <w:r>
              <w:rPr>
                <w:rFonts w:hint="eastAsia" w:ascii="宋体" w:hAnsi="宋体" w:cs="宋体"/>
                <w:kern w:val="0"/>
                <w:sz w:val="20"/>
              </w:rPr>
              <w:t>套</w:t>
            </w:r>
          </w:p>
        </w:tc>
        <w:tc>
          <w:tcPr>
            <w:tcW w:w="674" w:type="dxa"/>
            <w:vMerge w:val="restart"/>
            <w:noWrap w:val="0"/>
            <w:vAlign w:val="center"/>
          </w:tcPr>
          <w:p>
            <w:pPr>
              <w:widowControl/>
              <w:jc w:val="center"/>
              <w:rPr>
                <w:rFonts w:hint="eastAsia"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权限管理子系统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机构管理，用户管理，角色管理</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景区管理子系统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景区信息，景点分区，景区个性化，票型管理，套票设置，景区票面，门票分类，季节类型，支付方式，检票通道</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客户管理子系统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协议价管理，客户管理，客户签单核销，预售票核销</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库存管理子系统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库存批次号，仓库设置，总仓入库，门票转仓，废票登记，门票退库，库存使用统计</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发票登记管理子系统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批次号，发票入库，发票领取，发票退库，使用统计，废票登记</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37" w:type="dxa"/>
            <w:vMerge w:val="continue"/>
            <w:shd w:val="clear" w:color="auto" w:fill="auto"/>
            <w:noWrap w:val="0"/>
            <w:vAlign w:val="center"/>
          </w:tcPr>
          <w:p>
            <w:pPr>
              <w:widowControl/>
              <w:jc w:val="left"/>
              <w:rPr>
                <w:rFonts w:ascii="宋体" w:hAnsi="宋体" w:cs="宋体"/>
                <w:kern w:val="0"/>
                <w:sz w:val="22"/>
                <w:szCs w:val="22"/>
              </w:rPr>
            </w:pPr>
          </w:p>
        </w:tc>
        <w:tc>
          <w:tcPr>
            <w:tcW w:w="806" w:type="dxa"/>
            <w:vMerge w:val="continue"/>
            <w:shd w:val="clear" w:color="auto" w:fill="auto"/>
            <w:noWrap w:val="0"/>
            <w:vAlign w:val="center"/>
          </w:tcPr>
          <w:p>
            <w:pPr>
              <w:widowControl/>
              <w:jc w:val="left"/>
              <w:rPr>
                <w:rFonts w:ascii="宋体" w:hAnsi="宋体" w:cs="宋体"/>
                <w:kern w:val="0"/>
                <w:sz w:val="22"/>
                <w:szCs w:val="22"/>
              </w:rPr>
            </w:pPr>
          </w:p>
        </w:tc>
        <w:tc>
          <w:tcPr>
            <w:tcW w:w="1103"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售票管理子系统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售票模块有：常规售票（散客售票、团队售票、协议价售票）、预售票</w:t>
            </w:r>
            <w:r>
              <w:rPr>
                <w:rFonts w:hint="eastAsia" w:ascii="宋体" w:hAnsi="宋体" w:cs="宋体"/>
                <w:kern w:val="0"/>
                <w:sz w:val="20"/>
              </w:rPr>
              <w:br w:type="textWrapping"/>
            </w:r>
            <w:r>
              <w:rPr>
                <w:rFonts w:hint="eastAsia" w:ascii="宋体" w:hAnsi="宋体" w:cs="宋体"/>
                <w:kern w:val="0"/>
                <w:sz w:val="20"/>
              </w:rPr>
              <w:t>支付方式：现金、支付宝、微信</w:t>
            </w:r>
            <w:r>
              <w:rPr>
                <w:rFonts w:hint="eastAsia" w:ascii="宋体" w:hAnsi="宋体" w:cs="宋体"/>
                <w:kern w:val="0"/>
                <w:sz w:val="20"/>
              </w:rPr>
              <w:br w:type="textWrapping"/>
            </w:r>
            <w:r>
              <w:rPr>
                <w:rFonts w:hint="eastAsia" w:ascii="宋体" w:hAnsi="宋体" w:cs="宋体"/>
                <w:kern w:val="0"/>
                <w:sz w:val="20"/>
              </w:rPr>
              <w:t>其他功能：包括订单查询，订单退订，退票</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报表统计子系统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检票报表，销售员报表，景区报表，套票报表，退票员报表，,售检退统计月报表、售检退统计年报表</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437" w:type="dxa"/>
            <w:vMerge w:val="continue"/>
            <w:noWrap w:val="0"/>
            <w:vAlign w:val="center"/>
          </w:tcPr>
          <w:p>
            <w:pPr>
              <w:widowControl/>
              <w:jc w:val="left"/>
              <w:rPr>
                <w:rFonts w:ascii="宋体" w:hAnsi="宋体" w:cs="宋体"/>
                <w:kern w:val="0"/>
                <w:sz w:val="22"/>
                <w:szCs w:val="22"/>
              </w:rPr>
            </w:pPr>
          </w:p>
        </w:tc>
        <w:tc>
          <w:tcPr>
            <w:tcW w:w="806" w:type="dxa"/>
            <w:vMerge w:val="continue"/>
            <w:noWrap w:val="0"/>
            <w:vAlign w:val="center"/>
          </w:tcPr>
          <w:p>
            <w:pPr>
              <w:widowControl/>
              <w:jc w:val="left"/>
              <w:rPr>
                <w:rFonts w:ascii="宋体" w:hAnsi="宋体" w:cs="宋体"/>
                <w:kern w:val="0"/>
                <w:sz w:val="22"/>
                <w:szCs w:val="22"/>
              </w:rPr>
            </w:pPr>
          </w:p>
        </w:tc>
        <w:tc>
          <w:tcPr>
            <w:tcW w:w="1103" w:type="dxa"/>
            <w:noWrap w:val="0"/>
            <w:vAlign w:val="center"/>
          </w:tcPr>
          <w:p>
            <w:pPr>
              <w:widowControl/>
              <w:jc w:val="center"/>
              <w:rPr>
                <w:rFonts w:hint="eastAsia" w:ascii="宋体" w:hAnsi="宋体" w:cs="宋体"/>
                <w:kern w:val="0"/>
                <w:sz w:val="20"/>
              </w:rPr>
            </w:pPr>
            <w:r>
              <w:rPr>
                <w:rFonts w:hint="eastAsia" w:ascii="宋体" w:hAnsi="宋体" w:cs="宋体"/>
                <w:kern w:val="0"/>
                <w:sz w:val="20"/>
              </w:rPr>
              <w:t>公告管理子系统</w:t>
            </w:r>
          </w:p>
        </w:tc>
        <w:tc>
          <w:tcPr>
            <w:tcW w:w="5172" w:type="dxa"/>
            <w:noWrap w:val="0"/>
            <w:vAlign w:val="center"/>
          </w:tcPr>
          <w:p>
            <w:pPr>
              <w:widowControl/>
              <w:jc w:val="left"/>
              <w:rPr>
                <w:rFonts w:hint="eastAsia" w:ascii="宋体" w:hAnsi="宋体" w:cs="宋体"/>
                <w:kern w:val="0"/>
                <w:sz w:val="20"/>
              </w:rPr>
            </w:pPr>
            <w:r>
              <w:rPr>
                <w:rFonts w:hint="eastAsia" w:ascii="宋体" w:hAnsi="宋体" w:cs="宋体"/>
                <w:kern w:val="0"/>
                <w:sz w:val="20"/>
              </w:rPr>
              <w:t>发布公告，查看公告</w:t>
            </w:r>
          </w:p>
        </w:tc>
        <w:tc>
          <w:tcPr>
            <w:tcW w:w="1242" w:type="dxa"/>
            <w:vMerge w:val="continue"/>
            <w:noWrap w:val="0"/>
            <w:vAlign w:val="center"/>
          </w:tcPr>
          <w:p>
            <w:pPr>
              <w:widowControl/>
              <w:jc w:val="left"/>
              <w:rPr>
                <w:rFonts w:ascii="宋体" w:hAnsi="宋体" w:cs="宋体"/>
                <w:kern w:val="0"/>
                <w:sz w:val="20"/>
              </w:rPr>
            </w:pPr>
          </w:p>
        </w:tc>
        <w:tc>
          <w:tcPr>
            <w:tcW w:w="674" w:type="dxa"/>
            <w:vMerge w:val="continue"/>
            <w:noWrap w:val="0"/>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34" w:type="dxa"/>
            <w:gridSpan w:val="6"/>
            <w:noWrap w:val="0"/>
            <w:vAlign w:val="center"/>
          </w:tcPr>
          <w:p>
            <w:pPr>
              <w:widowControl/>
              <w:jc w:val="left"/>
              <w:rPr>
                <w:rFonts w:hint="default" w:ascii="宋体" w:hAnsi="宋体" w:eastAsia="宋体" w:cs="宋体"/>
                <w:b/>
                <w:bCs/>
                <w:kern w:val="0"/>
                <w:sz w:val="20"/>
                <w:lang w:val="en-US" w:eastAsia="zh-CN"/>
              </w:rPr>
            </w:pPr>
            <w:r>
              <w:rPr>
                <w:rFonts w:hint="eastAsia" w:ascii="宋体" w:hAnsi="宋体" w:cs="宋体"/>
                <w:b/>
                <w:bCs/>
                <w:kern w:val="0"/>
                <w:sz w:val="20"/>
                <w:lang w:val="en-US" w:eastAsia="zh-CN"/>
              </w:rPr>
              <w:t>二、硬件部分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序号</w:t>
            </w:r>
          </w:p>
        </w:tc>
        <w:tc>
          <w:tcPr>
            <w:tcW w:w="806" w:type="dxa"/>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产品名称</w:t>
            </w:r>
          </w:p>
        </w:tc>
        <w:tc>
          <w:tcPr>
            <w:tcW w:w="1103" w:type="dxa"/>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规格型号</w:t>
            </w:r>
          </w:p>
        </w:tc>
        <w:tc>
          <w:tcPr>
            <w:tcW w:w="5172" w:type="dxa"/>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功能模块</w:t>
            </w:r>
          </w:p>
        </w:tc>
        <w:tc>
          <w:tcPr>
            <w:tcW w:w="1242" w:type="dxa"/>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单位</w:t>
            </w:r>
          </w:p>
        </w:tc>
        <w:tc>
          <w:tcPr>
            <w:tcW w:w="674" w:type="dxa"/>
            <w:noWrap w:val="0"/>
            <w:vAlign w:val="center"/>
          </w:tcPr>
          <w:p>
            <w:pPr>
              <w:widowControl/>
              <w:jc w:val="center"/>
              <w:rPr>
                <w:rFonts w:hint="eastAsia" w:ascii="宋体" w:hAnsi="宋体" w:cs="宋体"/>
                <w:b/>
                <w:bCs/>
                <w:kern w:val="0"/>
                <w:sz w:val="20"/>
              </w:rPr>
            </w:pPr>
            <w:r>
              <w:rPr>
                <w:rFonts w:hint="eastAsia" w:ascii="宋体" w:hAnsi="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7" w:type="dxa"/>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806"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入口三</w:t>
            </w:r>
            <w:r>
              <w:rPr>
                <w:rFonts w:hint="eastAsia" w:ascii="宋体" w:hAnsi="宋体" w:cs="宋体"/>
                <w:kern w:val="0"/>
                <w:sz w:val="20"/>
                <w:lang w:val="en-US" w:eastAsia="zh-CN"/>
              </w:rPr>
              <w:t>棍</w:t>
            </w:r>
            <w:r>
              <w:rPr>
                <w:rFonts w:hint="eastAsia" w:ascii="宋体" w:hAnsi="宋体" w:cs="宋体"/>
                <w:kern w:val="0"/>
                <w:sz w:val="20"/>
              </w:rPr>
              <w:t>闸机</w:t>
            </w:r>
          </w:p>
        </w:tc>
        <w:tc>
          <w:tcPr>
            <w:tcW w:w="1103" w:type="dxa"/>
            <w:shd w:val="clear" w:color="auto" w:fill="auto"/>
            <w:noWrap w:val="0"/>
            <w:vAlign w:val="center"/>
          </w:tcPr>
          <w:p>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三棍闸机</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整机外观：开模R40箱体/整机无棱角设计/采用304#不锈钢材料/三辊闸机芯：全电动机芯自动落杆/机械传动基于牙钳式离合器控制</w:t>
            </w:r>
            <w:r>
              <w:rPr>
                <w:rFonts w:hint="eastAsia" w:ascii="宋体" w:hAnsi="宋体" w:cs="宋体"/>
                <w:kern w:val="0"/>
                <w:sz w:val="20"/>
              </w:rPr>
              <w:br w:type="textWrapping"/>
            </w:r>
            <w:r>
              <w:rPr>
                <w:rFonts w:hint="eastAsia" w:ascii="宋体" w:hAnsi="宋体" w:cs="宋体"/>
                <w:kern w:val="0"/>
                <w:sz w:val="20"/>
              </w:rPr>
              <w:t>箱体尺寸： 1440mm*260mm*1040mm（长*宽*高）</w:t>
            </w:r>
            <w:r>
              <w:rPr>
                <w:rFonts w:hint="eastAsia" w:ascii="宋体" w:hAnsi="宋体" w:cs="宋体"/>
                <w:kern w:val="0"/>
                <w:sz w:val="20"/>
              </w:rPr>
              <w:br w:type="textWrapping"/>
            </w:r>
            <w:r>
              <w:rPr>
                <w:rFonts w:hint="eastAsia" w:ascii="宋体" w:hAnsi="宋体" w:cs="宋体"/>
                <w:kern w:val="0"/>
                <w:sz w:val="20"/>
              </w:rPr>
              <w:t>主控系统：采用嵌入式一体机设计，主控单元Cortex-A9，含嵌入式系统 MTBF≥1000万次 二维码，二代证二合一阅读</w:t>
            </w:r>
          </w:p>
        </w:tc>
        <w:tc>
          <w:tcPr>
            <w:tcW w:w="1242"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台</w:t>
            </w:r>
          </w:p>
        </w:tc>
        <w:tc>
          <w:tcPr>
            <w:tcW w:w="674"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7" w:type="dxa"/>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806"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售票工作站</w:t>
            </w:r>
          </w:p>
        </w:tc>
        <w:tc>
          <w:tcPr>
            <w:tcW w:w="1103" w:type="dxa"/>
            <w:shd w:val="clear" w:color="auto" w:fill="auto"/>
            <w:noWrap w:val="0"/>
            <w:vAlign w:val="center"/>
          </w:tcPr>
          <w:p>
            <w:pPr>
              <w:widowControl/>
              <w:jc w:val="center"/>
              <w:rPr>
                <w:rFonts w:hint="eastAsia" w:ascii="宋体" w:hAnsi="宋体" w:cs="宋体"/>
                <w:kern w:val="0"/>
                <w:sz w:val="20"/>
              </w:rPr>
            </w:pPr>
            <w:r>
              <w:rPr>
                <w:rFonts w:hint="eastAsia" w:ascii="宋体" w:hAnsi="宋体" w:cs="宋体"/>
                <w:kern w:val="0"/>
                <w:sz w:val="20"/>
              </w:rPr>
              <w:t>戴尔</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售票</w:t>
            </w:r>
          </w:p>
        </w:tc>
        <w:tc>
          <w:tcPr>
            <w:tcW w:w="1242"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台</w:t>
            </w:r>
          </w:p>
        </w:tc>
        <w:tc>
          <w:tcPr>
            <w:tcW w:w="674"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7" w:type="dxa"/>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806"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门票打印机</w:t>
            </w:r>
          </w:p>
        </w:tc>
        <w:tc>
          <w:tcPr>
            <w:tcW w:w="1103" w:type="dxa"/>
            <w:shd w:val="clear" w:color="auto" w:fill="auto"/>
            <w:noWrap w:val="0"/>
            <w:vAlign w:val="center"/>
          </w:tcPr>
          <w:p>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门票打印机</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门票二维码打印机</w:t>
            </w:r>
          </w:p>
        </w:tc>
        <w:tc>
          <w:tcPr>
            <w:tcW w:w="1242"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台</w:t>
            </w:r>
          </w:p>
        </w:tc>
        <w:tc>
          <w:tcPr>
            <w:tcW w:w="674"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806"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二维码阅读器</w:t>
            </w:r>
          </w:p>
        </w:tc>
        <w:tc>
          <w:tcPr>
            <w:tcW w:w="1103" w:type="dxa"/>
            <w:shd w:val="clear" w:color="000000" w:fill="FFFFFF"/>
            <w:noWrap w:val="0"/>
            <w:vAlign w:val="center"/>
          </w:tcPr>
          <w:p>
            <w:pPr>
              <w:widowControl/>
              <w:jc w:val="both"/>
              <w:rPr>
                <w:rFonts w:hint="default" w:ascii="宋体" w:hAnsi="宋体" w:eastAsia="宋体" w:cs="宋体"/>
                <w:kern w:val="0"/>
                <w:sz w:val="20"/>
                <w:lang w:val="en-US" w:eastAsia="zh-CN"/>
              </w:rPr>
            </w:pPr>
            <w:r>
              <w:rPr>
                <w:rFonts w:hint="eastAsia" w:ascii="宋体" w:hAnsi="宋体" w:cs="宋体"/>
                <w:kern w:val="0"/>
                <w:sz w:val="20"/>
                <w:lang w:val="en-US" w:eastAsia="zh-CN"/>
              </w:rPr>
              <w:t>二维码阅读器</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微信，支付宝支付，退票查询</w:t>
            </w:r>
          </w:p>
        </w:tc>
        <w:tc>
          <w:tcPr>
            <w:tcW w:w="1242"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台</w:t>
            </w:r>
          </w:p>
        </w:tc>
        <w:tc>
          <w:tcPr>
            <w:tcW w:w="674"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806"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二代证卡二合一阅读器</w:t>
            </w:r>
          </w:p>
        </w:tc>
        <w:tc>
          <w:tcPr>
            <w:tcW w:w="1103" w:type="dxa"/>
            <w:shd w:val="clear" w:color="000000" w:fill="FFFFFF"/>
            <w:noWrap w:val="0"/>
            <w:vAlign w:val="center"/>
          </w:tcPr>
          <w:p>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二代证卡阅读器</w:t>
            </w:r>
          </w:p>
        </w:tc>
        <w:tc>
          <w:tcPr>
            <w:tcW w:w="5172" w:type="dxa"/>
            <w:shd w:val="clear" w:color="000000" w:fill="FFFFFF"/>
            <w:noWrap w:val="0"/>
            <w:vAlign w:val="center"/>
          </w:tcPr>
          <w:p>
            <w:pPr>
              <w:widowControl/>
              <w:jc w:val="left"/>
              <w:rPr>
                <w:rFonts w:hint="eastAsia" w:ascii="宋体" w:hAnsi="宋体" w:cs="宋体"/>
                <w:kern w:val="0"/>
                <w:sz w:val="20"/>
              </w:rPr>
            </w:pPr>
            <w:r>
              <w:rPr>
                <w:rFonts w:hint="eastAsia" w:ascii="宋体" w:hAnsi="宋体" w:cs="宋体"/>
                <w:kern w:val="0"/>
                <w:sz w:val="20"/>
              </w:rPr>
              <w:t>二代证识别模块</w:t>
            </w:r>
          </w:p>
        </w:tc>
        <w:tc>
          <w:tcPr>
            <w:tcW w:w="1242"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台</w:t>
            </w:r>
          </w:p>
        </w:tc>
        <w:tc>
          <w:tcPr>
            <w:tcW w:w="674" w:type="dxa"/>
            <w:shd w:val="clear" w:color="000000"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2</w:t>
            </w:r>
          </w:p>
        </w:tc>
      </w:tr>
    </w:tbl>
    <w:p>
      <w:pPr>
        <w:adjustRightInd/>
        <w:spacing w:line="276" w:lineRule="auto"/>
        <w:jc w:val="both"/>
        <w:textAlignment w:val="auto"/>
        <w:rPr>
          <w:rFonts w:hint="eastAsia" w:ascii="宋体" w:hAnsi="宋体" w:cs="新宋体"/>
          <w:b/>
          <w:sz w:val="22"/>
          <w:szCs w:val="22"/>
        </w:rPr>
      </w:pPr>
    </w:p>
    <w:p>
      <w:pPr>
        <w:adjustRightInd/>
        <w:spacing w:line="276" w:lineRule="auto"/>
        <w:jc w:val="both"/>
        <w:textAlignment w:val="auto"/>
        <w:rPr>
          <w:rFonts w:ascii="宋体" w:hAnsi="宋体" w:cs="新宋体"/>
          <w:b/>
          <w:sz w:val="21"/>
          <w:szCs w:val="21"/>
        </w:rPr>
      </w:pPr>
    </w:p>
    <w:p>
      <w:pPr>
        <w:pStyle w:val="3"/>
      </w:pPr>
      <w:bookmarkStart w:id="53" w:name="_Toc494525718"/>
      <w:r>
        <w:br w:type="page"/>
      </w:r>
      <w:bookmarkStart w:id="54" w:name="_Toc28510"/>
      <w:r>
        <w:rPr>
          <w:rFonts w:hint="eastAsia"/>
        </w:rPr>
        <w:t xml:space="preserve">第六章  </w:t>
      </w:r>
      <w:bookmarkEnd w:id="53"/>
      <w:r>
        <w:rPr>
          <w:rFonts w:hint="eastAsia"/>
        </w:rPr>
        <w:t>合同书（参考）</w:t>
      </w:r>
      <w:bookmarkEnd w:id="54"/>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项目名称：</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合同编号：</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签订日期：</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签订合同地点：</w:t>
      </w:r>
    </w:p>
    <w:p>
      <w:pPr>
        <w:pStyle w:val="28"/>
        <w:spacing w:after="0" w:line="360" w:lineRule="auto"/>
        <w:ind w:left="0" w:leftChars="0" w:firstLine="420" w:firstLineChars="200"/>
        <w:rPr>
          <w:rFonts w:ascii="宋体" w:hAnsi="宋体" w:cs="宋体"/>
          <w:sz w:val="21"/>
          <w:szCs w:val="21"/>
        </w:rPr>
      </w:pPr>
      <w:r>
        <w:rPr>
          <w:rFonts w:hint="eastAsia" w:ascii="宋体" w:hAnsi="宋体" w:cs="宋体"/>
          <w:kern w:val="2"/>
          <w:sz w:val="21"/>
          <w:szCs w:val="21"/>
        </w:rPr>
        <w:t>本合同由</w:t>
      </w:r>
      <w:r>
        <w:rPr>
          <w:rFonts w:hint="eastAsia" w:ascii="宋体" w:hAnsi="宋体" w:cs="宋体"/>
          <w:kern w:val="2"/>
          <w:sz w:val="21"/>
          <w:szCs w:val="21"/>
          <w:u w:val="single"/>
        </w:rPr>
        <w:t xml:space="preserve">        </w:t>
      </w:r>
      <w:r>
        <w:rPr>
          <w:rFonts w:hint="eastAsia" w:ascii="宋体" w:hAnsi="宋体" w:cs="宋体"/>
          <w:kern w:val="2"/>
          <w:sz w:val="21"/>
          <w:szCs w:val="21"/>
        </w:rPr>
        <w:t>（以下简称“需方”）与</w:t>
      </w:r>
      <w:r>
        <w:rPr>
          <w:rFonts w:hint="eastAsia" w:ascii="宋体" w:hAnsi="宋体" w:cs="宋体"/>
          <w:kern w:val="2"/>
          <w:sz w:val="21"/>
          <w:szCs w:val="21"/>
          <w:u w:val="single"/>
        </w:rPr>
        <w:t xml:space="preserve">         </w:t>
      </w:r>
      <w:r>
        <w:rPr>
          <w:rFonts w:hint="eastAsia" w:ascii="宋体" w:hAnsi="宋体" w:cs="宋体"/>
          <w:kern w:val="2"/>
          <w:sz w:val="21"/>
          <w:szCs w:val="21"/>
        </w:rPr>
        <w:t>（以下简称“供方”）签订。供方以总金额</w:t>
      </w:r>
      <w:r>
        <w:rPr>
          <w:rFonts w:hint="eastAsia" w:ascii="宋体" w:hAnsi="宋体" w:cs="宋体"/>
          <w:kern w:val="2"/>
          <w:sz w:val="21"/>
          <w:szCs w:val="21"/>
          <w:u w:val="single"/>
        </w:rPr>
        <w:t xml:space="preserve">         </w:t>
      </w:r>
      <w:r>
        <w:rPr>
          <w:rFonts w:hint="eastAsia" w:ascii="宋体" w:hAnsi="宋体" w:cs="宋体"/>
          <w:kern w:val="2"/>
          <w:sz w:val="21"/>
          <w:szCs w:val="21"/>
        </w:rPr>
        <w:t>万元人民币（用大写书写）向需方提供如下</w:t>
      </w:r>
      <w:r>
        <w:rPr>
          <w:rFonts w:hint="eastAsia" w:ascii="宋体" w:hAnsi="宋体" w:cs="宋体"/>
          <w:kern w:val="2"/>
          <w:sz w:val="21"/>
          <w:szCs w:val="21"/>
          <w:u w:val="single"/>
        </w:rPr>
        <w:t xml:space="preserve">  （工程/货物/服务）  </w:t>
      </w:r>
      <w:r>
        <w:rPr>
          <w:rFonts w:hint="eastAsia" w:ascii="宋体" w:hAnsi="宋体" w:cs="宋体"/>
          <w:kern w:val="2"/>
          <w:sz w:val="21"/>
          <w:szCs w:val="21"/>
        </w:rPr>
        <w:t>：</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经双方协商，同意按下列条文执行：</w:t>
      </w:r>
    </w:p>
    <w:p>
      <w:pPr>
        <w:autoSpaceDE w:val="0"/>
        <w:autoSpaceDN w:val="0"/>
        <w:spacing w:line="360" w:lineRule="auto"/>
        <w:ind w:firstLine="422" w:firstLineChars="200"/>
        <w:rPr>
          <w:rFonts w:ascii="宋体" w:hAnsi="宋体" w:cs="宋体"/>
          <w:kern w:val="2"/>
          <w:sz w:val="21"/>
          <w:szCs w:val="21"/>
        </w:rPr>
      </w:pPr>
      <w:r>
        <w:rPr>
          <w:rFonts w:hint="eastAsia" w:ascii="宋体" w:hAnsi="宋体" w:cs="宋体"/>
          <w:b/>
          <w:bCs/>
          <w:kern w:val="2"/>
          <w:sz w:val="21"/>
          <w:szCs w:val="21"/>
        </w:rPr>
        <w:t>1.</w:t>
      </w:r>
      <w:r>
        <w:rPr>
          <w:rFonts w:hint="eastAsia" w:ascii="宋体" w:hAnsi="宋体" w:cs="宋体"/>
          <w:kern w:val="2"/>
          <w:sz w:val="21"/>
          <w:szCs w:val="21"/>
        </w:rPr>
        <w:t>本合同供、需双方必须遵守国家颁布的“合同法”，并各自履行应负的全部责任和义务。</w:t>
      </w:r>
    </w:p>
    <w:p>
      <w:pPr>
        <w:autoSpaceDE w:val="0"/>
        <w:autoSpaceDN w:val="0"/>
        <w:spacing w:line="360" w:lineRule="auto"/>
        <w:ind w:firstLine="422" w:firstLineChars="200"/>
        <w:rPr>
          <w:rFonts w:ascii="宋体" w:hAnsi="宋体" w:cs="宋体"/>
          <w:kern w:val="2"/>
          <w:sz w:val="21"/>
          <w:szCs w:val="21"/>
        </w:rPr>
      </w:pPr>
      <w:r>
        <w:rPr>
          <w:rFonts w:hint="eastAsia" w:ascii="宋体" w:hAnsi="宋体" w:cs="宋体"/>
          <w:b/>
          <w:bCs/>
          <w:kern w:val="2"/>
          <w:sz w:val="21"/>
          <w:szCs w:val="21"/>
        </w:rPr>
        <w:t>2.</w:t>
      </w:r>
      <w:r>
        <w:rPr>
          <w:rFonts w:hint="eastAsia" w:ascii="宋体" w:hAnsi="宋体" w:cs="宋体"/>
          <w:kern w:val="2"/>
          <w:sz w:val="21"/>
          <w:szCs w:val="21"/>
        </w:rPr>
        <w:t>需方保证按合同条款规定的时间和方式付给供方到期应付的合同价款，并承担应负的责任和义务。</w:t>
      </w:r>
    </w:p>
    <w:p>
      <w:pPr>
        <w:autoSpaceDE w:val="0"/>
        <w:autoSpaceDN w:val="0"/>
        <w:spacing w:line="360" w:lineRule="auto"/>
        <w:ind w:firstLine="422" w:firstLineChars="200"/>
        <w:rPr>
          <w:rFonts w:ascii="宋体" w:hAnsi="宋体" w:cs="宋体"/>
          <w:kern w:val="2"/>
          <w:sz w:val="21"/>
          <w:szCs w:val="21"/>
        </w:rPr>
      </w:pPr>
      <w:r>
        <w:rPr>
          <w:rFonts w:hint="eastAsia" w:ascii="宋体" w:hAnsi="宋体" w:cs="宋体"/>
          <w:b/>
          <w:bCs/>
          <w:kern w:val="2"/>
          <w:sz w:val="21"/>
          <w:szCs w:val="21"/>
        </w:rPr>
        <w:t>3.</w:t>
      </w:r>
      <w:r>
        <w:rPr>
          <w:rFonts w:hint="eastAsia" w:ascii="宋体" w:hAnsi="宋体" w:cs="宋体"/>
          <w:kern w:val="2"/>
          <w:sz w:val="21"/>
          <w:szCs w:val="21"/>
        </w:rPr>
        <w:t>供方保证全部按合同条款规定的内容和</w:t>
      </w:r>
      <w:r>
        <w:rPr>
          <w:rFonts w:hint="eastAsia" w:ascii="宋体" w:hAnsi="宋体" w:cs="宋体"/>
          <w:kern w:val="2"/>
          <w:sz w:val="21"/>
          <w:szCs w:val="21"/>
          <w:u w:val="single"/>
        </w:rPr>
        <w:t>工期/交货期/服务期限</w:t>
      </w:r>
      <w:r>
        <w:rPr>
          <w:rFonts w:hint="eastAsia" w:ascii="宋体" w:hAnsi="宋体" w:cs="宋体"/>
          <w:kern w:val="2"/>
          <w:sz w:val="21"/>
          <w:szCs w:val="21"/>
        </w:rPr>
        <w:t xml:space="preserve">向需方提供合格的 </w:t>
      </w:r>
      <w:r>
        <w:rPr>
          <w:rFonts w:hint="eastAsia" w:ascii="宋体" w:hAnsi="宋体" w:cs="宋体"/>
          <w:kern w:val="2"/>
          <w:sz w:val="21"/>
          <w:szCs w:val="21"/>
          <w:u w:val="single"/>
        </w:rPr>
        <w:t xml:space="preserve"> （工程/货物/服务）  </w:t>
      </w:r>
      <w:r>
        <w:rPr>
          <w:rFonts w:hint="eastAsia" w:ascii="宋体" w:hAnsi="宋体" w:cs="宋体"/>
          <w:kern w:val="2"/>
          <w:sz w:val="21"/>
          <w:szCs w:val="21"/>
        </w:rPr>
        <w:t>，并承担应负的责任和义务。</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4.</w:t>
      </w:r>
      <w:r>
        <w:rPr>
          <w:rFonts w:hint="eastAsia" w:ascii="宋体" w:hAnsi="宋体" w:cs="宋体"/>
          <w:b/>
          <w:bCs/>
          <w:kern w:val="2"/>
          <w:sz w:val="21"/>
          <w:szCs w:val="21"/>
        </w:rPr>
        <w:tab/>
      </w:r>
      <w:r>
        <w:rPr>
          <w:rFonts w:hint="eastAsia" w:ascii="宋体" w:hAnsi="宋体" w:cs="宋体"/>
          <w:b/>
          <w:bCs/>
          <w:kern w:val="2"/>
          <w:sz w:val="21"/>
          <w:szCs w:val="21"/>
        </w:rPr>
        <w:t>合同文件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下列文件为本合同不可分割的部分。</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4.1</w:t>
      </w:r>
      <w:r>
        <w:rPr>
          <w:rFonts w:hint="eastAsia" w:ascii="宋体" w:hAnsi="宋体" w:cs="宋体"/>
          <w:kern w:val="2"/>
          <w:sz w:val="21"/>
          <w:szCs w:val="21"/>
        </w:rPr>
        <w:tab/>
      </w:r>
      <w:r>
        <w:rPr>
          <w:rFonts w:hint="eastAsia" w:ascii="宋体" w:hAnsi="宋体" w:cs="宋体"/>
          <w:kern w:val="2"/>
          <w:sz w:val="21"/>
          <w:szCs w:val="21"/>
        </w:rPr>
        <w:t>本竞争性磋商文件；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4.2</w:t>
      </w:r>
      <w:r>
        <w:rPr>
          <w:rFonts w:hint="eastAsia" w:ascii="宋体" w:hAnsi="宋体" w:cs="宋体"/>
          <w:kern w:val="2"/>
          <w:sz w:val="21"/>
          <w:szCs w:val="21"/>
        </w:rPr>
        <w:tab/>
      </w:r>
      <w:r>
        <w:rPr>
          <w:rFonts w:hint="eastAsia" w:ascii="宋体" w:hAnsi="宋体" w:cs="宋体"/>
          <w:kern w:val="2"/>
          <w:sz w:val="21"/>
          <w:szCs w:val="21"/>
        </w:rPr>
        <w:t>供方成交的竞争性磋商响应文件；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4.3</w:t>
      </w:r>
      <w:r>
        <w:rPr>
          <w:rFonts w:hint="eastAsia" w:ascii="宋体" w:hAnsi="宋体" w:cs="宋体"/>
          <w:kern w:val="2"/>
          <w:sz w:val="21"/>
          <w:szCs w:val="21"/>
        </w:rPr>
        <w:tab/>
      </w:r>
      <w:r>
        <w:rPr>
          <w:rFonts w:hint="eastAsia" w:ascii="宋体" w:hAnsi="宋体" w:cs="宋体"/>
          <w:kern w:val="2"/>
          <w:sz w:val="21"/>
          <w:szCs w:val="21"/>
        </w:rPr>
        <w:t>合同书；</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4.4</w:t>
      </w:r>
      <w:r>
        <w:rPr>
          <w:rFonts w:hint="eastAsia" w:ascii="宋体" w:hAnsi="宋体" w:cs="宋体"/>
          <w:kern w:val="2"/>
          <w:sz w:val="21"/>
          <w:szCs w:val="21"/>
        </w:rPr>
        <w:tab/>
      </w:r>
      <w:r>
        <w:rPr>
          <w:rFonts w:hint="eastAsia" w:ascii="宋体" w:hAnsi="宋体" w:cs="宋体"/>
          <w:kern w:val="2"/>
          <w:sz w:val="21"/>
          <w:szCs w:val="21"/>
        </w:rPr>
        <w:t>合同条款；</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4.5</w:t>
      </w:r>
      <w:r>
        <w:rPr>
          <w:rFonts w:hint="eastAsia" w:ascii="宋体" w:hAnsi="宋体" w:cs="宋体"/>
          <w:kern w:val="2"/>
          <w:sz w:val="21"/>
          <w:szCs w:val="21"/>
        </w:rPr>
        <w:tab/>
      </w:r>
      <w:r>
        <w:rPr>
          <w:rFonts w:hint="eastAsia" w:ascii="宋体" w:hAnsi="宋体" w:cs="宋体"/>
          <w:kern w:val="2"/>
          <w:sz w:val="21"/>
          <w:szCs w:val="21"/>
          <w:u w:val="single"/>
        </w:rPr>
        <w:t xml:space="preserve">  （采购代理机构）  </w:t>
      </w:r>
      <w:r>
        <w:rPr>
          <w:rFonts w:hint="eastAsia" w:ascii="宋体" w:hAnsi="宋体" w:cs="宋体"/>
          <w:kern w:val="2"/>
          <w:sz w:val="21"/>
          <w:szCs w:val="21"/>
        </w:rPr>
        <w:t>发出的成交通知书；</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4.6</w:t>
      </w:r>
      <w:r>
        <w:rPr>
          <w:rFonts w:hint="eastAsia" w:ascii="宋体" w:hAnsi="宋体" w:cs="宋体"/>
          <w:kern w:val="2"/>
          <w:sz w:val="21"/>
          <w:szCs w:val="21"/>
        </w:rPr>
        <w:tab/>
      </w:r>
      <w:r>
        <w:rPr>
          <w:rFonts w:hint="eastAsia" w:ascii="宋体" w:hAnsi="宋体" w:cs="宋体"/>
          <w:kern w:val="2"/>
          <w:sz w:val="21"/>
          <w:szCs w:val="21"/>
        </w:rPr>
        <w:t>附件：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4.6.1 需方在采购期间发布的所有澄清、修改/补充通知；</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4.6.2 供方在磋商期内补充的所有书面文件；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4.6.3 供方在磋商时随同竞争性磋商响应文件一起递送的资料及附图；</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4.6.4 在商洽本合同时，双方澄清、确认并共同签字的补充文件、技术协议。</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5.</w:t>
      </w:r>
      <w:r>
        <w:rPr>
          <w:rFonts w:hint="eastAsia" w:ascii="宋体" w:hAnsi="宋体" w:cs="宋体"/>
          <w:b/>
          <w:bCs/>
          <w:kern w:val="2"/>
          <w:sz w:val="21"/>
          <w:szCs w:val="21"/>
        </w:rPr>
        <w:tab/>
      </w:r>
      <w:r>
        <w:rPr>
          <w:rFonts w:hint="eastAsia" w:ascii="宋体" w:hAnsi="宋体" w:cs="宋体"/>
          <w:b/>
          <w:bCs/>
          <w:kern w:val="2"/>
          <w:sz w:val="21"/>
          <w:szCs w:val="21"/>
        </w:rPr>
        <w:t>合同范围和条件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本合同的范围和条件应与上述规定的合同文件内容相一致。</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6.</w:t>
      </w:r>
      <w:r>
        <w:rPr>
          <w:rFonts w:hint="eastAsia" w:ascii="宋体" w:hAnsi="宋体" w:cs="宋体"/>
          <w:b/>
          <w:bCs/>
          <w:kern w:val="2"/>
          <w:sz w:val="21"/>
          <w:szCs w:val="21"/>
        </w:rPr>
        <w:tab/>
      </w:r>
      <w:r>
        <w:rPr>
          <w:rFonts w:hint="eastAsia" w:ascii="宋体" w:hAnsi="宋体" w:cs="宋体"/>
          <w:b/>
          <w:bCs/>
          <w:kern w:val="2"/>
          <w:sz w:val="21"/>
          <w:szCs w:val="21"/>
        </w:rPr>
        <w:t>工程/货物/服务</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本合同所提供的</w:t>
      </w:r>
      <w:r>
        <w:rPr>
          <w:rFonts w:hint="eastAsia" w:ascii="宋体" w:hAnsi="宋体" w:cs="宋体"/>
          <w:kern w:val="2"/>
          <w:sz w:val="21"/>
          <w:szCs w:val="21"/>
          <w:u w:val="single"/>
        </w:rPr>
        <w:t xml:space="preserve">  （工程/货物/服务）  </w:t>
      </w:r>
      <w:r>
        <w:rPr>
          <w:rFonts w:hint="eastAsia" w:ascii="宋体" w:hAnsi="宋体" w:cs="宋体"/>
          <w:kern w:val="2"/>
          <w:sz w:val="21"/>
          <w:szCs w:val="21"/>
        </w:rPr>
        <w:t>详见竞争性磋商文件的要求及供方竞争性磋商响应文件中的承诺。</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7.</w:t>
      </w:r>
      <w:r>
        <w:rPr>
          <w:rFonts w:hint="eastAsia" w:ascii="宋体" w:hAnsi="宋体" w:cs="宋体"/>
          <w:b/>
          <w:bCs/>
          <w:kern w:val="2"/>
          <w:sz w:val="21"/>
          <w:szCs w:val="21"/>
        </w:rPr>
        <w:tab/>
      </w:r>
      <w:r>
        <w:rPr>
          <w:rFonts w:hint="eastAsia" w:ascii="宋体" w:hAnsi="宋体" w:cs="宋体"/>
          <w:b/>
          <w:bCs/>
          <w:kern w:val="2"/>
          <w:sz w:val="21"/>
          <w:szCs w:val="21"/>
        </w:rPr>
        <w:t>付款条件</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本合同的付款条件在以双方合同约定为准。</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8.</w:t>
      </w:r>
      <w:r>
        <w:rPr>
          <w:rFonts w:hint="eastAsia" w:ascii="宋体" w:hAnsi="宋体" w:cs="宋体"/>
          <w:b/>
          <w:bCs/>
          <w:kern w:val="2"/>
          <w:sz w:val="21"/>
          <w:szCs w:val="21"/>
        </w:rPr>
        <w:tab/>
      </w:r>
      <w:r>
        <w:rPr>
          <w:rFonts w:hint="eastAsia" w:ascii="宋体" w:hAnsi="宋体" w:cs="宋体"/>
          <w:b/>
          <w:bCs/>
          <w:kern w:val="2"/>
          <w:sz w:val="21"/>
          <w:szCs w:val="21"/>
        </w:rPr>
        <w:t>合同金额</w:t>
      </w:r>
    </w:p>
    <w:p>
      <w:pPr>
        <w:autoSpaceDE w:val="0"/>
        <w:autoSpaceDN w:val="0"/>
        <w:spacing w:line="360" w:lineRule="auto"/>
        <w:ind w:firstLine="420" w:firstLineChars="200"/>
        <w:rPr>
          <w:rFonts w:ascii="宋体" w:hAnsi="宋体" w:cs="宋体"/>
          <w:sz w:val="21"/>
          <w:szCs w:val="21"/>
        </w:rPr>
      </w:pPr>
      <w:r>
        <w:rPr>
          <w:rFonts w:hint="eastAsia" w:ascii="宋体" w:hAnsi="宋体" w:cs="宋体"/>
          <w:kern w:val="2"/>
          <w:sz w:val="21"/>
          <w:szCs w:val="21"/>
        </w:rPr>
        <w:t>合同总金额见合同书，分项价格（如有）在供方的竞争性磋商响应文件中有明确规定。</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9.</w:t>
      </w:r>
      <w:r>
        <w:rPr>
          <w:rFonts w:hint="eastAsia" w:ascii="宋体" w:hAnsi="宋体" w:cs="宋体"/>
          <w:b/>
          <w:bCs/>
          <w:kern w:val="2"/>
          <w:sz w:val="21"/>
          <w:szCs w:val="21"/>
        </w:rPr>
        <w:tab/>
      </w:r>
      <w:r>
        <w:rPr>
          <w:rFonts w:hint="eastAsia" w:ascii="宋体" w:hAnsi="宋体" w:cs="宋体"/>
          <w:b/>
          <w:bCs/>
          <w:kern w:val="2"/>
          <w:sz w:val="21"/>
          <w:szCs w:val="21"/>
        </w:rPr>
        <w:t>交货时间和交货地点</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 xml:space="preserve">本合同中 </w:t>
      </w:r>
      <w:r>
        <w:rPr>
          <w:rFonts w:hint="eastAsia" w:ascii="宋体" w:hAnsi="宋体" w:cs="宋体"/>
          <w:kern w:val="2"/>
          <w:sz w:val="21"/>
          <w:szCs w:val="21"/>
          <w:u w:val="single"/>
        </w:rPr>
        <w:t xml:space="preserve">（工程/货物/服务） </w:t>
      </w:r>
      <w:r>
        <w:rPr>
          <w:rFonts w:hint="eastAsia" w:ascii="宋体" w:hAnsi="宋体" w:cs="宋体"/>
          <w:kern w:val="2"/>
          <w:sz w:val="21"/>
          <w:szCs w:val="21"/>
        </w:rPr>
        <w:t>的</w:t>
      </w:r>
      <w:r>
        <w:rPr>
          <w:rFonts w:hint="eastAsia" w:ascii="宋体" w:hAnsi="宋体" w:cs="宋体"/>
          <w:kern w:val="2"/>
          <w:sz w:val="21"/>
          <w:szCs w:val="21"/>
          <w:u w:val="single"/>
        </w:rPr>
        <w:t xml:space="preserve"> (工期/交货期/服务期限）</w:t>
      </w:r>
      <w:r>
        <w:rPr>
          <w:rFonts w:hint="eastAsia" w:ascii="宋体" w:hAnsi="宋体" w:cs="宋体"/>
          <w:kern w:val="2"/>
          <w:sz w:val="21"/>
          <w:szCs w:val="21"/>
        </w:rPr>
        <w:t xml:space="preserve"> 、 </w:t>
      </w:r>
      <w:r>
        <w:rPr>
          <w:rFonts w:hint="eastAsia" w:ascii="宋体" w:hAnsi="宋体" w:cs="宋体"/>
          <w:kern w:val="2"/>
          <w:sz w:val="21"/>
          <w:szCs w:val="21"/>
          <w:u w:val="single"/>
        </w:rPr>
        <w:t xml:space="preserve">(建设地点/交货地点/服务地点） </w:t>
      </w:r>
      <w:r>
        <w:rPr>
          <w:rFonts w:hint="eastAsia" w:ascii="宋体" w:hAnsi="宋体" w:cs="宋体"/>
          <w:kern w:val="2"/>
          <w:sz w:val="21"/>
          <w:szCs w:val="21"/>
        </w:rPr>
        <w:t>在竞争性磋商文件中有明确规定。</w:t>
      </w:r>
    </w:p>
    <w:p>
      <w:pPr>
        <w:autoSpaceDE w:val="0"/>
        <w:autoSpaceDN w:val="0"/>
        <w:spacing w:line="360" w:lineRule="auto"/>
        <w:ind w:firstLine="422" w:firstLineChars="200"/>
        <w:rPr>
          <w:rFonts w:ascii="宋体" w:hAnsi="宋体" w:cs="宋体"/>
          <w:b/>
          <w:bCs/>
          <w:kern w:val="2"/>
          <w:sz w:val="21"/>
          <w:szCs w:val="21"/>
        </w:rPr>
      </w:pPr>
      <w:r>
        <w:rPr>
          <w:rFonts w:hint="eastAsia" w:ascii="宋体" w:hAnsi="宋体" w:cs="宋体"/>
          <w:b/>
          <w:bCs/>
          <w:kern w:val="2"/>
          <w:sz w:val="21"/>
          <w:szCs w:val="21"/>
        </w:rPr>
        <w:t>10.</w:t>
      </w:r>
      <w:r>
        <w:rPr>
          <w:rFonts w:hint="eastAsia" w:ascii="宋体" w:hAnsi="宋体" w:cs="宋体"/>
          <w:b/>
          <w:bCs/>
          <w:kern w:val="2"/>
          <w:sz w:val="21"/>
          <w:szCs w:val="21"/>
        </w:rPr>
        <w:tab/>
      </w:r>
      <w:r>
        <w:rPr>
          <w:rFonts w:hint="eastAsia" w:ascii="宋体" w:hAnsi="宋体" w:cs="宋体"/>
          <w:b/>
          <w:bCs/>
          <w:kern w:val="2"/>
          <w:sz w:val="21"/>
          <w:szCs w:val="21"/>
        </w:rPr>
        <w:t>合同生效</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sz w:val="21"/>
          <w:szCs w:val="21"/>
        </w:rPr>
        <w:t>本</w:t>
      </w:r>
      <w:r>
        <w:rPr>
          <w:rFonts w:hint="eastAsia" w:ascii="宋体" w:hAnsi="宋体" w:cs="宋体"/>
          <w:kern w:val="2"/>
          <w:sz w:val="21"/>
          <w:szCs w:val="21"/>
        </w:rPr>
        <w:t>合同经供、需双方授权代表签字和加盖公章（或合同专用章）后生效。如申请公证的，合同需经公证机构公证后生效。</w:t>
      </w:r>
    </w:p>
    <w:p>
      <w:pPr>
        <w:autoSpaceDE w:val="0"/>
        <w:autoSpaceDN w:val="0"/>
        <w:spacing w:line="360" w:lineRule="auto"/>
        <w:ind w:firstLine="422" w:firstLineChars="200"/>
        <w:rPr>
          <w:rFonts w:ascii="宋体" w:hAnsi="宋体" w:cs="宋体"/>
          <w:kern w:val="2"/>
          <w:sz w:val="21"/>
          <w:szCs w:val="21"/>
        </w:rPr>
      </w:pPr>
      <w:r>
        <w:rPr>
          <w:rFonts w:hint="eastAsia" w:ascii="宋体" w:hAnsi="宋体" w:cs="宋体"/>
          <w:b/>
          <w:bCs/>
          <w:kern w:val="2"/>
          <w:sz w:val="21"/>
          <w:szCs w:val="21"/>
        </w:rPr>
        <w:t>11.合同的份数</w:t>
      </w:r>
    </w:p>
    <w:p>
      <w:pPr>
        <w:autoSpaceDE w:val="0"/>
        <w:autoSpaceDN w:val="0"/>
        <w:spacing w:line="360" w:lineRule="auto"/>
        <w:ind w:firstLine="420" w:firstLineChars="200"/>
        <w:rPr>
          <w:rFonts w:ascii="宋体" w:hAnsi="宋体" w:cs="宋体"/>
          <w:kern w:val="2"/>
          <w:sz w:val="21"/>
          <w:szCs w:val="21"/>
        </w:rPr>
      </w:pPr>
      <w:r>
        <w:rPr>
          <w:rFonts w:hint="eastAsia" w:ascii="宋体" w:hAnsi="宋体" w:cs="宋体"/>
          <w:kern w:val="2"/>
          <w:sz w:val="21"/>
          <w:szCs w:val="21"/>
        </w:rPr>
        <w:t>本合同正本一式</w:t>
      </w:r>
      <w:r>
        <w:rPr>
          <w:rFonts w:hint="eastAsia" w:ascii="宋体" w:hAnsi="宋体" w:cs="宋体"/>
          <w:kern w:val="2"/>
          <w:sz w:val="21"/>
          <w:szCs w:val="21"/>
          <w:u w:val="single"/>
        </w:rPr>
        <w:t xml:space="preserve"> 　 </w:t>
      </w:r>
      <w:r>
        <w:rPr>
          <w:rFonts w:hint="eastAsia" w:ascii="宋体" w:hAnsi="宋体" w:cs="宋体"/>
          <w:kern w:val="2"/>
          <w:sz w:val="21"/>
          <w:szCs w:val="21"/>
        </w:rPr>
        <w:t>份，需方执</w:t>
      </w:r>
      <w:r>
        <w:rPr>
          <w:rFonts w:hint="eastAsia" w:ascii="宋体" w:hAnsi="宋体" w:cs="宋体"/>
          <w:kern w:val="2"/>
          <w:sz w:val="21"/>
          <w:szCs w:val="21"/>
          <w:u w:val="single"/>
        </w:rPr>
        <w:t xml:space="preserve"> 　 </w:t>
      </w:r>
      <w:r>
        <w:rPr>
          <w:rFonts w:hint="eastAsia" w:ascii="宋体" w:hAnsi="宋体" w:cs="宋体"/>
          <w:kern w:val="2"/>
          <w:sz w:val="21"/>
          <w:szCs w:val="21"/>
        </w:rPr>
        <w:t>份，供方执</w:t>
      </w:r>
      <w:r>
        <w:rPr>
          <w:rFonts w:hint="eastAsia" w:ascii="宋体" w:hAnsi="宋体" w:cs="宋体"/>
          <w:kern w:val="2"/>
          <w:sz w:val="21"/>
          <w:szCs w:val="21"/>
          <w:u w:val="single"/>
        </w:rPr>
        <w:t xml:space="preserve">  　</w:t>
      </w:r>
      <w:r>
        <w:rPr>
          <w:rFonts w:hint="eastAsia" w:ascii="宋体" w:hAnsi="宋体" w:cs="宋体"/>
          <w:kern w:val="2"/>
          <w:sz w:val="21"/>
          <w:szCs w:val="21"/>
        </w:rPr>
        <w:t>份；副本一式</w:t>
      </w:r>
      <w:r>
        <w:rPr>
          <w:rFonts w:hint="eastAsia" w:ascii="宋体" w:hAnsi="宋体" w:cs="宋体"/>
          <w:kern w:val="2"/>
          <w:sz w:val="21"/>
          <w:szCs w:val="21"/>
          <w:u w:val="single"/>
        </w:rPr>
        <w:t>　　</w:t>
      </w:r>
      <w:r>
        <w:rPr>
          <w:rFonts w:hint="eastAsia" w:ascii="宋体" w:hAnsi="宋体" w:cs="宋体"/>
          <w:kern w:val="2"/>
          <w:sz w:val="21"/>
          <w:szCs w:val="21"/>
        </w:rPr>
        <w:t>份，需方执</w:t>
      </w:r>
      <w:r>
        <w:rPr>
          <w:rFonts w:hint="eastAsia" w:ascii="宋体" w:hAnsi="宋体" w:cs="宋体"/>
          <w:kern w:val="2"/>
          <w:sz w:val="21"/>
          <w:szCs w:val="21"/>
          <w:u w:val="single"/>
        </w:rPr>
        <w:t xml:space="preserve"> 　 </w:t>
      </w:r>
      <w:r>
        <w:rPr>
          <w:rFonts w:hint="eastAsia" w:ascii="宋体" w:hAnsi="宋体" w:cs="宋体"/>
          <w:kern w:val="2"/>
          <w:sz w:val="21"/>
          <w:szCs w:val="21"/>
        </w:rPr>
        <w:t>份，供方执</w:t>
      </w:r>
      <w:r>
        <w:rPr>
          <w:rFonts w:hint="eastAsia" w:ascii="宋体" w:hAnsi="宋体" w:cs="宋体"/>
          <w:kern w:val="2"/>
          <w:sz w:val="21"/>
          <w:szCs w:val="21"/>
          <w:u w:val="single"/>
        </w:rPr>
        <w:t xml:space="preserve"> 　 </w:t>
      </w:r>
      <w:r>
        <w:rPr>
          <w:rFonts w:hint="eastAsia" w:ascii="宋体" w:hAnsi="宋体" w:cs="宋体"/>
          <w:kern w:val="2"/>
          <w:sz w:val="21"/>
          <w:szCs w:val="21"/>
        </w:rPr>
        <w:t>份，主管部门执</w:t>
      </w:r>
      <w:r>
        <w:rPr>
          <w:rFonts w:hint="eastAsia" w:ascii="宋体" w:hAnsi="宋体" w:cs="宋体"/>
          <w:kern w:val="2"/>
          <w:sz w:val="21"/>
          <w:szCs w:val="21"/>
          <w:u w:val="single"/>
        </w:rPr>
        <w:t xml:space="preserve">  　</w:t>
      </w:r>
      <w:r>
        <w:rPr>
          <w:rFonts w:hint="eastAsia" w:ascii="宋体" w:hAnsi="宋体" w:cs="宋体"/>
          <w:kern w:val="2"/>
          <w:sz w:val="21"/>
          <w:szCs w:val="21"/>
        </w:rPr>
        <w:t>份。</w:t>
      </w:r>
    </w:p>
    <w:p>
      <w:pPr>
        <w:autoSpaceDE w:val="0"/>
        <w:autoSpaceDN w:val="0"/>
        <w:spacing w:line="360" w:lineRule="auto"/>
        <w:ind w:firstLine="420" w:firstLineChars="200"/>
        <w:rPr>
          <w:rFonts w:ascii="宋体" w:hAnsi="宋体" w:cs="宋体"/>
          <w:sz w:val="21"/>
          <w:szCs w:val="21"/>
        </w:rPr>
      </w:pPr>
    </w:p>
    <w:p>
      <w:pPr>
        <w:autoSpaceDE w:val="0"/>
        <w:autoSpaceDN w:val="0"/>
        <w:spacing w:line="360" w:lineRule="auto"/>
        <w:ind w:firstLine="420" w:firstLineChars="200"/>
        <w:rPr>
          <w:rFonts w:ascii="宋体" w:hAnsi="宋体" w:cs="宋体"/>
          <w:sz w:val="21"/>
          <w:szCs w:val="21"/>
        </w:rPr>
      </w:pPr>
    </w:p>
    <w:p>
      <w:pPr>
        <w:autoSpaceDE w:val="0"/>
        <w:autoSpaceDN w:val="0"/>
        <w:spacing w:line="360" w:lineRule="auto"/>
        <w:ind w:firstLine="420" w:firstLineChars="200"/>
        <w:rPr>
          <w:rFonts w:ascii="宋体" w:hAnsi="宋体" w:cs="宋体"/>
          <w:sz w:val="21"/>
          <w:szCs w:val="21"/>
        </w:rPr>
      </w:pP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需　　方</w:t>
      </w:r>
      <w:r>
        <w:rPr>
          <w:rFonts w:hint="eastAsia" w:ascii="宋体" w:hAnsi="宋体" w:cs="宋体"/>
          <w:sz w:val="21"/>
          <w:szCs w:val="21"/>
        </w:rPr>
        <w:tab/>
      </w:r>
      <w:r>
        <w:rPr>
          <w:rFonts w:hint="eastAsia" w:ascii="宋体" w:hAnsi="宋体" w:cs="宋体"/>
          <w:sz w:val="21"/>
          <w:szCs w:val="21"/>
        </w:rPr>
        <w:t>供　　方</w:t>
      </w: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单位名称（盖章）：</w:t>
      </w:r>
      <w:r>
        <w:rPr>
          <w:rFonts w:hint="eastAsia" w:ascii="宋体" w:hAnsi="宋体" w:cs="宋体"/>
          <w:sz w:val="21"/>
          <w:szCs w:val="21"/>
        </w:rPr>
        <w:tab/>
      </w:r>
      <w:r>
        <w:rPr>
          <w:rFonts w:hint="eastAsia" w:ascii="宋体" w:hAnsi="宋体" w:cs="宋体"/>
          <w:sz w:val="21"/>
          <w:szCs w:val="21"/>
        </w:rPr>
        <w:t>单位名称（盖章）：</w:t>
      </w: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单位地址：</w:t>
      </w:r>
      <w:r>
        <w:rPr>
          <w:rFonts w:hint="eastAsia" w:ascii="宋体" w:hAnsi="宋体" w:cs="宋体"/>
          <w:sz w:val="21"/>
          <w:szCs w:val="21"/>
        </w:rPr>
        <w:tab/>
      </w:r>
      <w:r>
        <w:rPr>
          <w:rFonts w:hint="eastAsia" w:ascii="宋体" w:hAnsi="宋体" w:cs="宋体"/>
          <w:sz w:val="21"/>
          <w:szCs w:val="21"/>
        </w:rPr>
        <w:t>单位地址：</w:t>
      </w: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法人代表人</w:t>
      </w:r>
      <w:r>
        <w:rPr>
          <w:rFonts w:hint="eastAsia" w:ascii="宋体" w:hAnsi="宋体" w:cs="宋体"/>
          <w:sz w:val="21"/>
          <w:szCs w:val="21"/>
        </w:rPr>
        <w:tab/>
      </w:r>
      <w:r>
        <w:rPr>
          <w:rFonts w:hint="eastAsia" w:ascii="宋体" w:hAnsi="宋体" w:cs="宋体"/>
          <w:sz w:val="21"/>
          <w:szCs w:val="21"/>
        </w:rPr>
        <w:t>法人代表人</w:t>
      </w: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或其委托代理人(签字)：                  或其委托代理人(签字)：</w:t>
      </w: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联 系 人：</w:t>
      </w:r>
      <w:r>
        <w:rPr>
          <w:rFonts w:hint="eastAsia" w:ascii="宋体" w:hAnsi="宋体" w:cs="宋体"/>
          <w:sz w:val="21"/>
          <w:szCs w:val="21"/>
        </w:rPr>
        <w:tab/>
      </w:r>
      <w:r>
        <w:rPr>
          <w:rFonts w:hint="eastAsia" w:ascii="宋体" w:hAnsi="宋体" w:cs="宋体"/>
          <w:sz w:val="21"/>
          <w:szCs w:val="21"/>
        </w:rPr>
        <w:t>联 系 人：</w:t>
      </w:r>
    </w:p>
    <w:p>
      <w:pPr>
        <w:tabs>
          <w:tab w:val="left" w:pos="4615"/>
        </w:tabs>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电　　话：</w:t>
      </w:r>
      <w:r>
        <w:rPr>
          <w:rFonts w:hint="eastAsia" w:ascii="宋体" w:hAnsi="宋体" w:cs="宋体"/>
          <w:sz w:val="21"/>
          <w:szCs w:val="21"/>
        </w:rPr>
        <w:tab/>
      </w:r>
      <w:r>
        <w:rPr>
          <w:rFonts w:hint="eastAsia" w:ascii="宋体" w:hAnsi="宋体" w:cs="宋体"/>
          <w:sz w:val="21"/>
          <w:szCs w:val="21"/>
        </w:rPr>
        <w:t>电　　话：</w:t>
      </w:r>
    </w:p>
    <w:p>
      <w:pPr>
        <w:pStyle w:val="146"/>
        <w:spacing w:line="360" w:lineRule="auto"/>
        <w:ind w:firstLine="420" w:firstLineChars="200"/>
      </w:pPr>
      <w:r>
        <w:rPr>
          <w:rFonts w:hint="eastAsia" w:cs="宋体"/>
        </w:rPr>
        <w:t>邮政编码：</w:t>
      </w:r>
      <w:r>
        <w:rPr>
          <w:rFonts w:hint="eastAsia" w:cs="宋体"/>
        </w:rPr>
        <w:tab/>
      </w:r>
      <w:r>
        <w:rPr>
          <w:rFonts w:hint="eastAsia" w:cs="宋体"/>
        </w:rPr>
        <w:t xml:space="preserve">                    邮政编码：</w:t>
      </w:r>
    </w:p>
    <w:p>
      <w:pPr>
        <w:pStyle w:val="157"/>
        <w:jc w:val="left"/>
        <w:rPr>
          <w:rFonts w:ascii="宋体" w:hAnsi="宋体"/>
          <w:sz w:val="21"/>
          <w:szCs w:val="21"/>
        </w:rPr>
        <w:sectPr>
          <w:footerReference r:id="rId7" w:type="first"/>
          <w:footerReference r:id="rId6" w:type="default"/>
          <w:pgSz w:w="11909" w:h="16834"/>
          <w:pgMar w:top="1440" w:right="1851" w:bottom="1440" w:left="1418" w:header="851" w:footer="851" w:gutter="0"/>
          <w:pgNumType w:fmt="decimal" w:start="1"/>
          <w:cols w:space="720" w:num="1"/>
          <w:titlePg/>
        </w:sectPr>
      </w:pPr>
    </w:p>
    <w:p>
      <w:pPr>
        <w:pStyle w:val="3"/>
      </w:pPr>
      <w:bookmarkStart w:id="55" w:name="_Toc27360"/>
      <w:r>
        <w:rPr>
          <w:rFonts w:hint="eastAsia"/>
        </w:rPr>
        <w:t xml:space="preserve">第七章  </w:t>
      </w:r>
      <w:bookmarkStart w:id="56" w:name="_Toc86202632"/>
      <w:r>
        <w:rPr>
          <w:rFonts w:hint="eastAsia"/>
        </w:rPr>
        <w:t>响应文件格式</w:t>
      </w:r>
      <w:bookmarkEnd w:id="55"/>
      <w:bookmarkEnd w:id="56"/>
    </w:p>
    <w:p>
      <w:pPr>
        <w:widowControl/>
        <w:snapToGrid w:val="0"/>
        <w:spacing w:line="360" w:lineRule="auto"/>
        <w:rPr>
          <w:rFonts w:ascii="宋体" w:hAnsi="宋体"/>
          <w:b/>
          <w:sz w:val="21"/>
          <w:szCs w:val="21"/>
          <w:lang w:val="zh-CN"/>
        </w:rPr>
      </w:pPr>
      <w:bookmarkStart w:id="57" w:name="_Toc500145142"/>
      <w:bookmarkStart w:id="58" w:name="_Toc498957160"/>
      <w:bookmarkStart w:id="59" w:name="_Toc86202633"/>
      <w:r>
        <w:rPr>
          <w:rFonts w:hint="eastAsia" w:ascii="宋体" w:hAnsi="宋体"/>
          <w:b/>
          <w:sz w:val="21"/>
          <w:szCs w:val="21"/>
          <w:lang w:val="zh-CN"/>
        </w:rPr>
        <w:t>供应商提交响应文件须知</w:t>
      </w:r>
      <w:bookmarkEnd w:id="57"/>
      <w:bookmarkEnd w:id="58"/>
      <w:bookmarkEnd w:id="59"/>
    </w:p>
    <w:p>
      <w:pPr>
        <w:pStyle w:val="146"/>
        <w:numPr>
          <w:ilvl w:val="0"/>
          <w:numId w:val="20"/>
        </w:numPr>
        <w:tabs>
          <w:tab w:val="left" w:pos="364"/>
        </w:tabs>
        <w:spacing w:line="360" w:lineRule="auto"/>
      </w:pPr>
      <w:r>
        <w:rPr>
          <w:rFonts w:hint="eastAsia"/>
        </w:rPr>
        <w:t>供应商应严格按照以下顺序填写和提交下述规定的全部格式文件以及其他有关资料，混乱的编 排导致响应文件被误读或查找不到，后果由供应商承担。</w:t>
      </w:r>
    </w:p>
    <w:p>
      <w:pPr>
        <w:pStyle w:val="146"/>
        <w:numPr>
          <w:ilvl w:val="0"/>
          <w:numId w:val="20"/>
        </w:numPr>
        <w:tabs>
          <w:tab w:val="left" w:pos="364"/>
        </w:tabs>
        <w:spacing w:line="360" w:lineRule="auto"/>
      </w:pPr>
      <w:r>
        <w:rPr>
          <w:rFonts w:hint="eastAsia"/>
        </w:rPr>
        <w:t>所附表格中要求回答的全部问题和信息都必须正面回答，若无特别说明，则填写“无”、“/”等字样。</w:t>
      </w:r>
    </w:p>
    <w:p>
      <w:pPr>
        <w:pStyle w:val="146"/>
        <w:numPr>
          <w:ilvl w:val="0"/>
          <w:numId w:val="20"/>
        </w:numPr>
        <w:tabs>
          <w:tab w:val="left" w:pos="364"/>
        </w:tabs>
        <w:spacing w:line="360" w:lineRule="auto"/>
      </w:pPr>
      <w:r>
        <w:rPr>
          <w:rFonts w:hint="eastAsia"/>
        </w:rPr>
        <w:t>响应文件的签字人应保证全部声明和问题的回答是真实的和准确的。</w:t>
      </w:r>
    </w:p>
    <w:p>
      <w:pPr>
        <w:pStyle w:val="146"/>
        <w:numPr>
          <w:ilvl w:val="0"/>
          <w:numId w:val="20"/>
        </w:numPr>
        <w:tabs>
          <w:tab w:val="left" w:pos="364"/>
        </w:tabs>
        <w:spacing w:line="360" w:lineRule="auto"/>
      </w:pPr>
      <w:r>
        <w:rPr>
          <w:rFonts w:hint="eastAsia"/>
        </w:rPr>
        <w:t>供应商提交的材料将被保密保存，但不退还。</w:t>
      </w:r>
    </w:p>
    <w:p>
      <w:pPr>
        <w:pStyle w:val="146"/>
        <w:numPr>
          <w:ilvl w:val="0"/>
          <w:numId w:val="20"/>
        </w:numPr>
        <w:tabs>
          <w:tab w:val="left" w:pos="364"/>
        </w:tabs>
        <w:spacing w:line="360" w:lineRule="auto"/>
      </w:pPr>
      <w:r>
        <w:rPr>
          <w:rFonts w:hint="eastAsia"/>
        </w:rPr>
        <w:t>全部文件应按供应商须知中规定的语言和份数提交。</w:t>
      </w:r>
    </w:p>
    <w:p>
      <w:pPr>
        <w:pStyle w:val="146"/>
        <w:numPr>
          <w:ilvl w:val="0"/>
          <w:numId w:val="20"/>
        </w:numPr>
        <w:tabs>
          <w:tab w:val="left" w:pos="364"/>
        </w:tabs>
        <w:spacing w:line="360" w:lineRule="auto"/>
      </w:pPr>
      <w:r>
        <w:rPr>
          <w:rFonts w:hint="eastAsia"/>
        </w:rPr>
        <w:t>所递交的响应文件证明材料须清晰完整，否则视为无效材料。</w:t>
      </w:r>
    </w:p>
    <w:p>
      <w:pPr>
        <w:pStyle w:val="146"/>
        <w:numPr>
          <w:ilvl w:val="0"/>
          <w:numId w:val="20"/>
        </w:numPr>
        <w:tabs>
          <w:tab w:val="left" w:pos="364"/>
          <w:tab w:val="left" w:pos="2445"/>
          <w:tab w:val="clear" w:pos="2553"/>
        </w:tabs>
        <w:spacing w:line="360" w:lineRule="auto"/>
      </w:pPr>
      <w:r>
        <w:rPr>
          <w:rFonts w:hint="eastAsia"/>
        </w:rPr>
        <w:t>响应文件应按磋商文件“第七章 响应文件格式”的要求在</w:t>
      </w:r>
      <w:r>
        <w:t>盖</w:t>
      </w:r>
      <w:r>
        <w:rPr>
          <w:rFonts w:hint="eastAsia"/>
        </w:rPr>
        <w:t>供应商公</w:t>
      </w:r>
      <w:r>
        <w:t>章</w:t>
      </w:r>
      <w:r>
        <w:rPr>
          <w:rFonts w:hint="eastAsia"/>
        </w:rPr>
        <w:t>、</w:t>
      </w:r>
      <w:r>
        <w:t>签字</w:t>
      </w:r>
      <w:r>
        <w:rPr>
          <w:rFonts w:hint="eastAsia"/>
        </w:rPr>
        <w:t>或签章的地方，供应商</w:t>
      </w:r>
      <w:r>
        <w:t>均应盖</w:t>
      </w:r>
      <w:r>
        <w:rPr>
          <w:rFonts w:hint="eastAsia"/>
        </w:rPr>
        <w:t>供应商标准公章、</w:t>
      </w:r>
      <w:r>
        <w:t>签字</w:t>
      </w:r>
      <w:r>
        <w:rPr>
          <w:rFonts w:hint="eastAsia"/>
        </w:rPr>
        <w:t>或盖个人印章，其格式不得修改，否则视为非实质性响应磋商文件，其</w:t>
      </w:r>
      <w:r>
        <w:rPr>
          <w:rFonts w:hint="eastAsia"/>
          <w:b/>
        </w:rPr>
        <w:t>响应被拒绝</w:t>
      </w:r>
      <w:r>
        <w:rPr>
          <w:rFonts w:hint="eastAsia"/>
        </w:rPr>
        <w:t>。</w:t>
      </w:r>
      <w:r>
        <w:tab/>
      </w:r>
    </w:p>
    <w:p>
      <w:pPr>
        <w:pStyle w:val="19"/>
        <w:tabs>
          <w:tab w:val="left" w:pos="1260"/>
        </w:tabs>
        <w:spacing w:before="480" w:beforeLines="200" w:line="480" w:lineRule="auto"/>
        <w:jc w:val="center"/>
        <w:rPr>
          <w:rFonts w:ascii="Times New Roman" w:hAnsi="Times New Roman"/>
          <w:spacing w:val="100"/>
          <w:w w:val="110"/>
          <w:sz w:val="100"/>
          <w:szCs w:val="100"/>
        </w:rPr>
      </w:pPr>
      <w:r>
        <w:br w:type="page"/>
      </w:r>
      <w:r>
        <w:rPr>
          <w:rFonts w:hint="eastAsia" w:ascii="Times New Roman" w:hAnsi="Times New Roman"/>
          <w:bCs/>
          <w:spacing w:val="100"/>
          <w:w w:val="110"/>
          <w:sz w:val="100"/>
          <w:szCs w:val="100"/>
        </w:rPr>
        <w:t>响应文件</w:t>
      </w:r>
    </w:p>
    <w:p>
      <w:pPr>
        <w:pStyle w:val="19"/>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9"/>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9"/>
        <w:spacing w:line="360" w:lineRule="auto"/>
        <w:ind w:firstLine="1280" w:firstLineChars="400"/>
        <w:rPr>
          <w:rFonts w:ascii="Times New Roman" w:hAnsi="Times New Roman"/>
          <w:sz w:val="32"/>
          <w:szCs w:val="32"/>
        </w:rPr>
      </w:pPr>
      <w:r>
        <w:rPr>
          <w:rFonts w:hint="eastAsia" w:ascii="Times New Roman" w:hAnsi="Times New Roman"/>
          <w:sz w:val="32"/>
          <w:szCs w:val="32"/>
        </w:rPr>
        <w:t>供应商名称：</w:t>
      </w: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9"/>
        <w:jc w:val="center"/>
        <w:rPr>
          <w:rFonts w:ascii="Times New Roman" w:hAnsi="Times New Roman"/>
          <w:sz w:val="44"/>
        </w:rPr>
      </w:pPr>
    </w:p>
    <w:p>
      <w:pPr>
        <w:pStyle w:val="146"/>
        <w:spacing w:line="460" w:lineRule="exact"/>
        <w:ind w:left="709" w:hanging="709"/>
        <w:jc w:val="center"/>
      </w:pPr>
      <w:r>
        <w:rPr>
          <w:rFonts w:hint="eastAsia"/>
          <w:sz w:val="30"/>
          <w:szCs w:val="30"/>
        </w:rPr>
        <w:t>日期：二0二</w:t>
      </w:r>
      <w:r>
        <w:rPr>
          <w:rFonts w:hint="eastAsia"/>
          <w:sz w:val="30"/>
          <w:szCs w:val="30"/>
          <w:lang w:eastAsia="zh-CN"/>
        </w:rPr>
        <w:t>一</w:t>
      </w:r>
      <w:r>
        <w:rPr>
          <w:rFonts w:hint="eastAsia"/>
          <w:sz w:val="30"/>
          <w:szCs w:val="30"/>
        </w:rPr>
        <w:t>年  月</w:t>
      </w:r>
    </w:p>
    <w:p>
      <w:pPr>
        <w:pStyle w:val="4"/>
        <w:rPr>
          <w:szCs w:val="28"/>
        </w:rPr>
      </w:pPr>
      <w:r>
        <w:br w:type="page"/>
      </w:r>
      <w:bookmarkStart w:id="60" w:name="_Toc86202634"/>
      <w:r>
        <w:rPr>
          <w:rFonts w:hint="eastAsia"/>
        </w:rPr>
        <w:t>资格性检查</w:t>
      </w:r>
      <w:r>
        <w:rPr>
          <w:rFonts w:hint="eastAsia"/>
          <w:szCs w:val="28"/>
        </w:rPr>
        <w:t>响应对照表</w:t>
      </w:r>
    </w:p>
    <w:tbl>
      <w:tblPr>
        <w:tblStyle w:val="3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524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Align w:val="center"/>
          </w:tcPr>
          <w:p>
            <w:pPr>
              <w:spacing w:line="240" w:lineRule="auto"/>
              <w:jc w:val="center"/>
              <w:rPr>
                <w:rFonts w:ascii="宋体" w:hAnsi="宋体"/>
                <w:b/>
                <w:sz w:val="21"/>
                <w:szCs w:val="21"/>
              </w:rPr>
            </w:pPr>
            <w:r>
              <w:rPr>
                <w:rFonts w:hint="eastAsia" w:ascii="宋体" w:hAnsi="宋体"/>
                <w:b/>
                <w:sz w:val="21"/>
                <w:szCs w:val="21"/>
              </w:rPr>
              <w:t>序号</w:t>
            </w:r>
          </w:p>
        </w:tc>
        <w:tc>
          <w:tcPr>
            <w:tcW w:w="1701" w:type="dxa"/>
            <w:vAlign w:val="center"/>
          </w:tcPr>
          <w:p>
            <w:pPr>
              <w:spacing w:line="240" w:lineRule="auto"/>
              <w:jc w:val="center"/>
              <w:rPr>
                <w:rFonts w:ascii="宋体" w:hAnsi="宋体"/>
                <w:b/>
                <w:sz w:val="21"/>
                <w:szCs w:val="21"/>
              </w:rPr>
            </w:pPr>
            <w:r>
              <w:rPr>
                <w:rFonts w:hint="eastAsia" w:ascii="宋体" w:hAnsi="宋体"/>
                <w:b/>
                <w:sz w:val="21"/>
                <w:szCs w:val="21"/>
              </w:rPr>
              <w:t>评审因素</w:t>
            </w:r>
          </w:p>
        </w:tc>
        <w:tc>
          <w:tcPr>
            <w:tcW w:w="5245" w:type="dxa"/>
            <w:vAlign w:val="center"/>
          </w:tcPr>
          <w:p>
            <w:pPr>
              <w:spacing w:line="240" w:lineRule="auto"/>
              <w:jc w:val="center"/>
              <w:rPr>
                <w:rFonts w:ascii="宋体" w:hAnsi="宋体"/>
                <w:b/>
                <w:sz w:val="21"/>
                <w:szCs w:val="21"/>
              </w:rPr>
            </w:pPr>
            <w:r>
              <w:rPr>
                <w:rFonts w:hint="eastAsia" w:ascii="宋体" w:hAnsi="宋体"/>
                <w:b/>
                <w:sz w:val="21"/>
                <w:szCs w:val="21"/>
              </w:rPr>
              <w:t>内容</w:t>
            </w:r>
          </w:p>
        </w:tc>
        <w:tc>
          <w:tcPr>
            <w:tcW w:w="1559" w:type="dxa"/>
            <w:vAlign w:val="center"/>
          </w:tcPr>
          <w:p>
            <w:pPr>
              <w:spacing w:line="240" w:lineRule="auto"/>
              <w:jc w:val="center"/>
              <w:rPr>
                <w:rFonts w:ascii="宋体" w:hAnsi="宋体"/>
                <w:b/>
                <w:sz w:val="21"/>
                <w:szCs w:val="21"/>
              </w:rPr>
            </w:pPr>
            <w:r>
              <w:rPr>
                <w:rFonts w:hint="eastAsia" w:ascii="宋体" w:hAnsi="宋体"/>
                <w:b/>
                <w:sz w:val="21"/>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Align w:val="center"/>
          </w:tcPr>
          <w:p>
            <w:pPr>
              <w:pStyle w:val="90"/>
              <w:numPr>
                <w:ilvl w:val="0"/>
                <w:numId w:val="21"/>
              </w:numPr>
              <w:spacing w:line="240" w:lineRule="auto"/>
              <w:ind w:firstLineChars="0"/>
              <w:jc w:val="center"/>
              <w:rPr>
                <w:rFonts w:ascii="宋体" w:hAnsi="宋体"/>
              </w:rPr>
            </w:pPr>
          </w:p>
        </w:tc>
        <w:tc>
          <w:tcPr>
            <w:tcW w:w="1701" w:type="dxa"/>
            <w:vAlign w:val="center"/>
          </w:tcPr>
          <w:p>
            <w:pPr>
              <w:spacing w:line="240" w:lineRule="auto"/>
              <w:jc w:val="center"/>
              <w:rPr>
                <w:rFonts w:ascii="新宋体" w:hAnsi="新宋体" w:eastAsia="新宋体" w:cs="新宋体"/>
                <w:sz w:val="21"/>
                <w:szCs w:val="21"/>
              </w:rPr>
            </w:pPr>
            <w:r>
              <w:rPr>
                <w:rFonts w:hint="eastAsia" w:ascii="新宋体" w:hAnsi="新宋体" w:eastAsia="新宋体" w:cs="新宋体"/>
                <w:sz w:val="21"/>
                <w:szCs w:val="21"/>
              </w:rPr>
              <w:t>营业执照</w:t>
            </w:r>
          </w:p>
        </w:tc>
        <w:tc>
          <w:tcPr>
            <w:tcW w:w="5245" w:type="dxa"/>
            <w:vAlign w:val="center"/>
          </w:tcPr>
          <w:p>
            <w:pPr>
              <w:spacing w:line="240" w:lineRule="auto"/>
              <w:rPr>
                <w:rFonts w:ascii="新宋体" w:hAnsi="新宋体" w:eastAsia="新宋体" w:cs="新宋体"/>
                <w:sz w:val="21"/>
                <w:szCs w:val="21"/>
              </w:rPr>
            </w:pPr>
            <w:r>
              <w:rPr>
                <w:rFonts w:hint="eastAsia" w:ascii="新宋体" w:hAnsi="新宋体" w:eastAsia="新宋体" w:cs="新宋体"/>
                <w:sz w:val="21"/>
                <w:szCs w:val="21"/>
              </w:rPr>
              <w:t>供应商须具备有效的营业执照</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7" w:type="dxa"/>
            <w:vAlign w:val="center"/>
          </w:tcPr>
          <w:p>
            <w:pPr>
              <w:pStyle w:val="90"/>
              <w:numPr>
                <w:ilvl w:val="0"/>
                <w:numId w:val="21"/>
              </w:numPr>
              <w:spacing w:line="240" w:lineRule="auto"/>
              <w:ind w:firstLineChars="0"/>
              <w:jc w:val="center"/>
              <w:rPr>
                <w:rFonts w:ascii="宋体" w:hAnsi="宋体"/>
              </w:rPr>
            </w:pPr>
          </w:p>
        </w:tc>
        <w:tc>
          <w:tcPr>
            <w:tcW w:w="1701" w:type="dxa"/>
            <w:vAlign w:val="center"/>
          </w:tcPr>
          <w:p>
            <w:pPr>
              <w:spacing w:line="240" w:lineRule="auto"/>
              <w:jc w:val="center"/>
              <w:rPr>
                <w:rFonts w:ascii="新宋体" w:hAnsi="新宋体" w:eastAsia="新宋体" w:cs="新宋体"/>
                <w:spacing w:val="-4"/>
                <w:sz w:val="21"/>
                <w:szCs w:val="21"/>
              </w:rPr>
            </w:pPr>
            <w:r>
              <w:rPr>
                <w:rFonts w:hint="eastAsia" w:ascii="新宋体" w:hAnsi="新宋体" w:eastAsia="新宋体" w:cs="新宋体"/>
                <w:spacing w:val="-4"/>
                <w:sz w:val="21"/>
                <w:szCs w:val="21"/>
              </w:rPr>
              <w:t>信誉</w:t>
            </w:r>
          </w:p>
        </w:tc>
        <w:tc>
          <w:tcPr>
            <w:tcW w:w="5245" w:type="dxa"/>
            <w:vAlign w:val="center"/>
          </w:tcPr>
          <w:p>
            <w:pPr>
              <w:spacing w:line="240" w:lineRule="auto"/>
              <w:rPr>
                <w:rFonts w:ascii="宋体" w:hAnsi="宋体"/>
                <w:sz w:val="21"/>
                <w:szCs w:val="21"/>
              </w:rPr>
            </w:pPr>
            <w:r>
              <w:rPr>
                <w:sz w:val="21"/>
                <w:szCs w:val="21"/>
              </w:rPr>
              <w:t>供应商未被列入信用中国 (www.creditchina.gov.cn)</w:t>
            </w:r>
            <w:r>
              <w:rPr>
                <w:rFonts w:hint="eastAsia" w:ascii="宋体" w:hAnsi="宋体"/>
                <w:sz w:val="21"/>
                <w:szCs w:val="21"/>
              </w:rPr>
              <w:t xml:space="preserve"> 失信惩戒名单</w:t>
            </w:r>
            <w:r>
              <w:rPr>
                <w:sz w:val="21"/>
                <w:szCs w:val="21"/>
              </w:rPr>
              <w:t>、中国政府采购网(</w:t>
            </w:r>
            <w:r>
              <w:fldChar w:fldCharType="begin"/>
            </w:r>
            <w:r>
              <w:instrText xml:space="preserve"> HYPERLINK "http://www.ccgp.gov.cn/" </w:instrText>
            </w:r>
            <w:r>
              <w:fldChar w:fldCharType="separate"/>
            </w:r>
            <w:r>
              <w:rPr>
                <w:sz w:val="21"/>
                <w:szCs w:val="21"/>
              </w:rPr>
              <w:t>www.ccgp.gov.cn</w:t>
            </w:r>
            <w:r>
              <w:rPr>
                <w:sz w:val="21"/>
                <w:szCs w:val="21"/>
              </w:rPr>
              <w:fldChar w:fldCharType="end"/>
            </w:r>
            <w:r>
              <w:rPr>
                <w:sz w:val="21"/>
                <w:szCs w:val="21"/>
              </w:rPr>
              <w:t>)政府</w:t>
            </w:r>
            <w:r>
              <w:rPr>
                <w:rFonts w:hint="eastAsia"/>
                <w:sz w:val="21"/>
                <w:szCs w:val="21"/>
              </w:rPr>
              <w:t>采购</w:t>
            </w:r>
            <w:r>
              <w:rPr>
                <w:sz w:val="21"/>
                <w:szCs w:val="21"/>
              </w:rPr>
              <w:t>严重违法失信行为记录名单</w:t>
            </w:r>
            <w:r>
              <w:rPr>
                <w:rFonts w:hint="eastAsia"/>
                <w:sz w:val="21"/>
                <w:szCs w:val="21"/>
              </w:rPr>
              <w:t>。</w:t>
            </w:r>
            <w:r>
              <w:rPr>
                <w:rFonts w:ascii="宋体" w:hAnsi="宋体"/>
                <w:sz w:val="21"/>
                <w:szCs w:val="21"/>
              </w:rPr>
              <w:t xml:space="preserve"> </w:t>
            </w:r>
          </w:p>
        </w:tc>
        <w:tc>
          <w:tcPr>
            <w:tcW w:w="1559" w:type="dxa"/>
            <w:vAlign w:val="center"/>
          </w:tcPr>
          <w:p>
            <w:pPr>
              <w:spacing w:line="240" w:lineRule="auto"/>
              <w:jc w:val="center"/>
              <w:rPr>
                <w:rFonts w:ascii="宋体" w:hAnsi="宋体"/>
                <w:sz w:val="21"/>
                <w:szCs w:val="21"/>
              </w:rPr>
            </w:pPr>
            <w:r>
              <w:rPr>
                <w:rFonts w:hint="eastAsia"/>
                <w:sz w:val="21"/>
                <w:szCs w:val="21"/>
              </w:rPr>
              <w:t>以响应截止日期当天磋商现场查询为准</w:t>
            </w:r>
          </w:p>
        </w:tc>
      </w:tr>
    </w:tbl>
    <w:p>
      <w:pPr>
        <w:spacing w:before="120" w:beforeLines="50" w:line="360" w:lineRule="auto"/>
        <w:jc w:val="both"/>
        <w:rPr>
          <w:rFonts w:ascii="宋体" w:hAnsi="宋体"/>
          <w:b/>
          <w:spacing w:val="10"/>
          <w:sz w:val="21"/>
          <w:szCs w:val="21"/>
        </w:rPr>
      </w:pPr>
      <w:r>
        <w:rPr>
          <w:rFonts w:hint="eastAsia" w:ascii="宋体" w:hAnsi="宋体"/>
          <w:b/>
          <w:spacing w:val="10"/>
          <w:sz w:val="21"/>
          <w:szCs w:val="21"/>
        </w:rPr>
        <w:t>备注：1、以上所有证明文件须在响应文件中体现，并在资格性检查响应对照表填入相应的页码，以便评委查阅。</w:t>
      </w:r>
    </w:p>
    <w:p>
      <w:pPr>
        <w:spacing w:before="120" w:beforeLines="50" w:line="360" w:lineRule="auto"/>
        <w:jc w:val="both"/>
        <w:rPr>
          <w:rFonts w:ascii="宋体" w:hAnsi="宋体"/>
          <w:b/>
          <w:spacing w:val="10"/>
          <w:sz w:val="21"/>
          <w:szCs w:val="21"/>
        </w:rPr>
      </w:pPr>
      <w:r>
        <w:rPr>
          <w:rFonts w:hint="eastAsia" w:ascii="宋体" w:hAnsi="宋体"/>
          <w:b/>
          <w:spacing w:val="10"/>
          <w:sz w:val="21"/>
          <w:szCs w:val="21"/>
        </w:rPr>
        <w:t>2、以上所有</w:t>
      </w:r>
      <w:r>
        <w:rPr>
          <w:rFonts w:ascii="宋体" w:hAnsi="宋体"/>
          <w:b/>
          <w:spacing w:val="10"/>
          <w:sz w:val="21"/>
          <w:szCs w:val="21"/>
        </w:rPr>
        <w:t>证明文件</w:t>
      </w:r>
      <w:r>
        <w:rPr>
          <w:rFonts w:hint="eastAsia" w:ascii="宋体" w:hAnsi="宋体"/>
          <w:b/>
          <w:spacing w:val="10"/>
          <w:sz w:val="21"/>
          <w:szCs w:val="21"/>
        </w:rPr>
        <w:t>须在响应文件中体现外还须单独提供一份原件或加盖公章的复印件并按本文件“第三章 供应商须知”第14条的要求密封及标记</w:t>
      </w:r>
      <w:r>
        <w:rPr>
          <w:rFonts w:hint="eastAsia" w:ascii="宋体" w:hAnsi="宋体"/>
          <w:b/>
          <w:sz w:val="21"/>
          <w:szCs w:val="21"/>
        </w:rPr>
        <w:t>，未提交上述证明文件其资格审查不合格</w:t>
      </w:r>
      <w:r>
        <w:rPr>
          <w:rFonts w:hint="eastAsia" w:ascii="宋体" w:hAnsi="宋体"/>
          <w:b/>
          <w:spacing w:val="10"/>
          <w:sz w:val="21"/>
          <w:szCs w:val="21"/>
        </w:rPr>
        <w:t>。</w:t>
      </w:r>
    </w:p>
    <w:p>
      <w:pPr>
        <w:pStyle w:val="4"/>
      </w:pPr>
      <w:r>
        <w:rPr>
          <w:rFonts w:ascii="宋体" w:hAnsi="宋体"/>
          <w:sz w:val="21"/>
          <w:szCs w:val="21"/>
        </w:rPr>
        <w:br w:type="page"/>
      </w:r>
      <w:r>
        <w:rPr>
          <w:rFonts w:hint="eastAsia"/>
        </w:rPr>
        <w:t>符合性检查响应对照表</w:t>
      </w:r>
    </w:p>
    <w:tbl>
      <w:tblPr>
        <w:tblStyle w:val="3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49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240" w:lineRule="auto"/>
              <w:jc w:val="center"/>
              <w:rPr>
                <w:rFonts w:ascii="宋体" w:hAnsi="宋体"/>
                <w:b/>
                <w:sz w:val="21"/>
                <w:szCs w:val="21"/>
              </w:rPr>
            </w:pPr>
            <w:r>
              <w:rPr>
                <w:rFonts w:hint="eastAsia" w:ascii="宋体" w:hAnsi="宋体"/>
                <w:b/>
                <w:sz w:val="21"/>
                <w:szCs w:val="21"/>
              </w:rPr>
              <w:t>序号</w:t>
            </w:r>
          </w:p>
        </w:tc>
        <w:tc>
          <w:tcPr>
            <w:tcW w:w="1843" w:type="dxa"/>
            <w:vAlign w:val="center"/>
          </w:tcPr>
          <w:p>
            <w:pPr>
              <w:spacing w:line="240" w:lineRule="auto"/>
              <w:jc w:val="center"/>
              <w:rPr>
                <w:rFonts w:ascii="宋体" w:hAnsi="宋体"/>
                <w:b/>
                <w:sz w:val="21"/>
                <w:szCs w:val="21"/>
              </w:rPr>
            </w:pPr>
            <w:r>
              <w:rPr>
                <w:rFonts w:hint="eastAsia" w:ascii="宋体" w:hAnsi="宋体"/>
                <w:b/>
                <w:sz w:val="21"/>
                <w:szCs w:val="21"/>
              </w:rPr>
              <w:t>评审因素</w:t>
            </w:r>
          </w:p>
        </w:tc>
        <w:tc>
          <w:tcPr>
            <w:tcW w:w="4961" w:type="dxa"/>
            <w:vAlign w:val="center"/>
          </w:tcPr>
          <w:p>
            <w:pPr>
              <w:spacing w:line="240" w:lineRule="auto"/>
              <w:jc w:val="center"/>
              <w:rPr>
                <w:rFonts w:ascii="宋体" w:hAnsi="宋体"/>
                <w:b/>
                <w:sz w:val="21"/>
                <w:szCs w:val="21"/>
              </w:rPr>
            </w:pPr>
            <w:r>
              <w:rPr>
                <w:rFonts w:hint="eastAsia" w:ascii="宋体" w:hAnsi="宋体"/>
                <w:b/>
                <w:sz w:val="21"/>
                <w:szCs w:val="21"/>
              </w:rPr>
              <w:t>内容</w:t>
            </w:r>
          </w:p>
        </w:tc>
        <w:tc>
          <w:tcPr>
            <w:tcW w:w="1559" w:type="dxa"/>
            <w:vAlign w:val="center"/>
          </w:tcPr>
          <w:p>
            <w:pPr>
              <w:spacing w:line="240" w:lineRule="auto"/>
              <w:jc w:val="center"/>
              <w:rPr>
                <w:rFonts w:ascii="宋体" w:hAnsi="宋体"/>
                <w:b/>
                <w:sz w:val="21"/>
                <w:szCs w:val="21"/>
              </w:rPr>
            </w:pPr>
            <w:r>
              <w:rPr>
                <w:rFonts w:hint="eastAsia" w:ascii="宋体" w:hAnsi="宋体"/>
                <w:b/>
                <w:sz w:val="21"/>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响应文件格式、内容</w:t>
            </w:r>
          </w:p>
        </w:tc>
        <w:tc>
          <w:tcPr>
            <w:tcW w:w="4961" w:type="dxa"/>
            <w:vAlign w:val="center"/>
          </w:tcPr>
          <w:p>
            <w:pPr>
              <w:spacing w:line="240" w:lineRule="auto"/>
              <w:jc w:val="both"/>
              <w:rPr>
                <w:rFonts w:ascii="宋体" w:hAnsi="宋体"/>
                <w:sz w:val="21"/>
                <w:szCs w:val="21"/>
              </w:rPr>
            </w:pPr>
            <w:r>
              <w:rPr>
                <w:rFonts w:hint="eastAsia" w:ascii="宋体" w:hAnsi="宋体"/>
                <w:sz w:val="21"/>
                <w:szCs w:val="21"/>
              </w:rPr>
              <w:t>符合第七章“响应文件格式”的要求，实质性内容齐全、关键字迹清晰可辨。</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响应文件签字、盖章</w:t>
            </w:r>
          </w:p>
        </w:tc>
        <w:tc>
          <w:tcPr>
            <w:tcW w:w="4961" w:type="dxa"/>
            <w:vAlign w:val="center"/>
          </w:tcPr>
          <w:p>
            <w:pPr>
              <w:spacing w:line="240" w:lineRule="auto"/>
              <w:jc w:val="both"/>
              <w:rPr>
                <w:rFonts w:ascii="宋体" w:hAnsi="宋体"/>
                <w:sz w:val="21"/>
                <w:szCs w:val="21"/>
              </w:rPr>
            </w:pPr>
            <w:r>
              <w:rPr>
                <w:rFonts w:hint="eastAsia" w:ascii="宋体" w:hAnsi="宋体"/>
                <w:sz w:val="21"/>
                <w:szCs w:val="21"/>
              </w:rPr>
              <w:t>1.符合“第七章响应文件格式”要求，不得对响应文件格式内容进行实质性修改，且签字、盖章齐全。</w:t>
            </w:r>
          </w:p>
          <w:p>
            <w:pPr>
              <w:spacing w:line="276" w:lineRule="auto"/>
              <w:jc w:val="both"/>
              <w:rPr>
                <w:rFonts w:ascii="宋体" w:hAnsi="宋体"/>
                <w:sz w:val="21"/>
                <w:szCs w:val="21"/>
              </w:rPr>
            </w:pPr>
            <w:r>
              <w:rPr>
                <w:rFonts w:hint="eastAsia" w:ascii="宋体" w:hAnsi="宋体"/>
                <w:sz w:val="21"/>
                <w:szCs w:val="21"/>
              </w:rPr>
              <w:t>2.响应文件正本须逐页加盖供应商公章及骑缝章。</w:t>
            </w:r>
          </w:p>
          <w:p>
            <w:pPr>
              <w:spacing w:line="240" w:lineRule="auto"/>
              <w:jc w:val="both"/>
              <w:rPr>
                <w:rFonts w:ascii="宋体" w:hAnsi="宋体"/>
                <w:sz w:val="21"/>
                <w:szCs w:val="21"/>
              </w:rPr>
            </w:pPr>
            <w:r>
              <w:rPr>
                <w:rFonts w:hint="eastAsia" w:ascii="宋体" w:hAnsi="宋体"/>
                <w:sz w:val="21"/>
                <w:szCs w:val="21"/>
              </w:rPr>
              <w:t>3.响应文件副本须加盖骑缝章且封面须加盖供应商公章。</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响应文件份数</w:t>
            </w:r>
          </w:p>
        </w:tc>
        <w:tc>
          <w:tcPr>
            <w:tcW w:w="4961" w:type="dxa"/>
            <w:vAlign w:val="center"/>
          </w:tcPr>
          <w:p>
            <w:pPr>
              <w:spacing w:line="240" w:lineRule="auto"/>
              <w:jc w:val="both"/>
              <w:rPr>
                <w:rFonts w:ascii="宋体" w:hAnsi="宋体"/>
                <w:sz w:val="21"/>
                <w:szCs w:val="21"/>
              </w:rPr>
            </w:pPr>
            <w:r>
              <w:rPr>
                <w:rFonts w:hint="eastAsia" w:ascii="宋体" w:hAnsi="宋体"/>
                <w:sz w:val="21"/>
                <w:szCs w:val="21"/>
              </w:rPr>
              <w:t>响应文件正本一份、副本两份、电子响应文件一份</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响应有效期</w:t>
            </w:r>
          </w:p>
        </w:tc>
        <w:tc>
          <w:tcPr>
            <w:tcW w:w="4961" w:type="dxa"/>
            <w:vAlign w:val="center"/>
          </w:tcPr>
          <w:p>
            <w:pPr>
              <w:spacing w:line="240" w:lineRule="auto"/>
              <w:jc w:val="both"/>
              <w:rPr>
                <w:rFonts w:ascii="宋体" w:hAnsi="宋体"/>
                <w:sz w:val="21"/>
                <w:szCs w:val="21"/>
              </w:rPr>
            </w:pPr>
            <w:r>
              <w:rPr>
                <w:rFonts w:hint="eastAsia" w:ascii="宋体" w:hAnsi="宋体"/>
                <w:bCs/>
                <w:spacing w:val="10"/>
                <w:sz w:val="21"/>
                <w:szCs w:val="21"/>
              </w:rPr>
              <w:t>90日历天（从响应截止日起计算）</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法定代表人授权委托书</w:t>
            </w:r>
          </w:p>
        </w:tc>
        <w:tc>
          <w:tcPr>
            <w:tcW w:w="4961" w:type="dxa"/>
            <w:vAlign w:val="center"/>
          </w:tcPr>
          <w:p>
            <w:pPr>
              <w:spacing w:line="240" w:lineRule="auto"/>
              <w:jc w:val="both"/>
              <w:rPr>
                <w:rFonts w:ascii="宋体" w:hAnsi="宋体"/>
                <w:bCs/>
                <w:spacing w:val="10"/>
                <w:sz w:val="21"/>
                <w:szCs w:val="21"/>
              </w:rPr>
            </w:pPr>
            <w:r>
              <w:rPr>
                <w:rFonts w:hint="eastAsia" w:ascii="宋体" w:hAnsi="宋体"/>
                <w:bCs/>
                <w:spacing w:val="10"/>
                <w:sz w:val="21"/>
                <w:szCs w:val="21"/>
              </w:rPr>
              <w:t>未封装的《法定代表人授权委托书》与响应文件中《法定代表人授权委托书》一致</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响应总报价</w:t>
            </w:r>
          </w:p>
        </w:tc>
        <w:tc>
          <w:tcPr>
            <w:tcW w:w="4961" w:type="dxa"/>
            <w:vAlign w:val="center"/>
          </w:tcPr>
          <w:p>
            <w:pPr>
              <w:spacing w:line="240" w:lineRule="auto"/>
              <w:rPr>
                <w:rFonts w:ascii="宋体" w:hAnsi="宋体"/>
                <w:sz w:val="21"/>
                <w:szCs w:val="21"/>
              </w:rPr>
            </w:pPr>
            <w:r>
              <w:rPr>
                <w:rFonts w:hint="eastAsia" w:ascii="宋体" w:hAnsi="宋体"/>
                <w:sz w:val="21"/>
                <w:szCs w:val="21"/>
              </w:rPr>
              <w:t>1.报价一览表中的响应总价大写报价不超过本项目预算金额。</w:t>
            </w:r>
          </w:p>
          <w:p>
            <w:pPr>
              <w:spacing w:line="240" w:lineRule="auto"/>
              <w:jc w:val="both"/>
              <w:rPr>
                <w:rFonts w:hint="eastAsia" w:ascii="宋体" w:hAnsi="宋体"/>
                <w:sz w:val="21"/>
                <w:szCs w:val="21"/>
              </w:rPr>
            </w:pPr>
            <w:r>
              <w:rPr>
                <w:rFonts w:hint="eastAsia" w:ascii="宋体" w:hAnsi="宋体"/>
                <w:sz w:val="21"/>
                <w:szCs w:val="21"/>
              </w:rPr>
              <w:t>2.响应总报价不低于其成本。</w:t>
            </w:r>
          </w:p>
          <w:p>
            <w:pPr>
              <w:spacing w:line="240" w:lineRule="auto"/>
              <w:jc w:val="both"/>
              <w:rPr>
                <w:rFonts w:hint="default" w:ascii="宋体" w:hAnsi="宋体"/>
                <w:sz w:val="21"/>
                <w:szCs w:val="21"/>
              </w:rPr>
            </w:pPr>
            <w:r>
              <w:rPr>
                <w:rFonts w:hint="default" w:ascii="宋体" w:hAnsi="宋体"/>
                <w:color w:val="FF0000"/>
                <w:sz w:val="21"/>
                <w:szCs w:val="21"/>
              </w:rPr>
              <w:t>3.如果投标人的投标报价低于该项目所有有效投标报价的算术平均值的85%则视为异常报价。</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sz w:val="21"/>
                <w:szCs w:val="21"/>
              </w:rPr>
              <w:t>交货期</w:t>
            </w:r>
          </w:p>
        </w:tc>
        <w:tc>
          <w:tcPr>
            <w:tcW w:w="4961" w:type="dxa"/>
            <w:vAlign w:val="center"/>
          </w:tcPr>
          <w:p>
            <w:pPr>
              <w:spacing w:line="240" w:lineRule="auto"/>
              <w:jc w:val="both"/>
              <w:rPr>
                <w:rFonts w:ascii="宋体" w:hAnsi="宋体"/>
                <w:sz w:val="21"/>
                <w:szCs w:val="21"/>
              </w:rPr>
            </w:pPr>
            <w:r>
              <w:rPr>
                <w:rFonts w:hint="eastAsia" w:ascii="宋体" w:hAnsi="宋体"/>
                <w:sz w:val="21"/>
                <w:szCs w:val="21"/>
                <w:lang w:val="zh-CN"/>
              </w:rPr>
              <w:t>自签订合同之日起</w:t>
            </w:r>
            <w:r>
              <w:rPr>
                <w:rFonts w:hint="eastAsia" w:ascii="宋体" w:hAnsi="宋体"/>
                <w:sz w:val="21"/>
                <w:szCs w:val="21"/>
                <w:lang w:val="en-US" w:eastAsia="zh-CN"/>
              </w:rPr>
              <w:t>20</w:t>
            </w:r>
            <w:r>
              <w:rPr>
                <w:rFonts w:hint="eastAsia" w:ascii="宋体" w:hAnsi="宋体"/>
                <w:sz w:val="21"/>
                <w:szCs w:val="21"/>
                <w:lang w:val="zh-CN"/>
              </w:rPr>
              <w:t>个日历日内到货，并安装调试完成通过采购人验收</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sz w:val="21"/>
                <w:szCs w:val="21"/>
              </w:rPr>
            </w:pPr>
            <w:r>
              <w:rPr>
                <w:rFonts w:hint="eastAsia"/>
                <w:sz w:val="21"/>
                <w:szCs w:val="21"/>
              </w:rPr>
              <w:t>质保期</w:t>
            </w:r>
          </w:p>
        </w:tc>
        <w:tc>
          <w:tcPr>
            <w:tcW w:w="4961" w:type="dxa"/>
            <w:vAlign w:val="center"/>
          </w:tcPr>
          <w:p>
            <w:pPr>
              <w:spacing w:line="240" w:lineRule="auto"/>
              <w:jc w:val="both"/>
              <w:rPr>
                <w:rFonts w:ascii="宋体" w:hAnsi="宋体"/>
                <w:sz w:val="21"/>
                <w:szCs w:val="21"/>
                <w:lang w:val="zh-CN"/>
              </w:rPr>
            </w:pPr>
            <w:r>
              <w:rPr>
                <w:rFonts w:hint="eastAsia" w:ascii="宋体" w:hAnsi="宋体"/>
                <w:sz w:val="21"/>
                <w:szCs w:val="21"/>
                <w:lang w:val="zh-CN"/>
              </w:rPr>
              <w:t>自验收合格之日1年，招标文件另有规定的除外。</w:t>
            </w:r>
          </w:p>
        </w:tc>
        <w:tc>
          <w:tcPr>
            <w:tcW w:w="1559"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pStyle w:val="90"/>
              <w:numPr>
                <w:ilvl w:val="0"/>
                <w:numId w:val="22"/>
              </w:numPr>
              <w:spacing w:line="240" w:lineRule="auto"/>
              <w:ind w:firstLineChars="0"/>
              <w:jc w:val="center"/>
              <w:rPr>
                <w:rFonts w:ascii="宋体" w:hAnsi="宋体"/>
              </w:rPr>
            </w:pPr>
          </w:p>
        </w:tc>
        <w:tc>
          <w:tcPr>
            <w:tcW w:w="1843" w:type="dxa"/>
            <w:vAlign w:val="center"/>
          </w:tcPr>
          <w:p>
            <w:pPr>
              <w:spacing w:line="240" w:lineRule="auto"/>
              <w:jc w:val="center"/>
              <w:rPr>
                <w:rFonts w:ascii="宋体" w:hAnsi="宋体"/>
                <w:sz w:val="21"/>
                <w:szCs w:val="21"/>
              </w:rPr>
            </w:pPr>
            <w:r>
              <w:rPr>
                <w:rFonts w:hint="eastAsia" w:ascii="宋体" w:hAnsi="宋体"/>
                <w:sz w:val="21"/>
                <w:szCs w:val="21"/>
              </w:rPr>
              <w:t>磋商文件规定其他应审查的内容</w:t>
            </w:r>
          </w:p>
        </w:tc>
        <w:tc>
          <w:tcPr>
            <w:tcW w:w="4961" w:type="dxa"/>
            <w:vAlign w:val="center"/>
          </w:tcPr>
          <w:p>
            <w:pPr>
              <w:spacing w:line="240" w:lineRule="auto"/>
              <w:jc w:val="both"/>
              <w:rPr>
                <w:rFonts w:ascii="宋体" w:hAnsi="宋体"/>
                <w:sz w:val="21"/>
                <w:szCs w:val="21"/>
              </w:rPr>
            </w:pPr>
            <w:r>
              <w:rPr>
                <w:rFonts w:hint="eastAsia" w:ascii="宋体" w:hAnsi="宋体"/>
                <w:sz w:val="21"/>
                <w:szCs w:val="21"/>
              </w:rPr>
              <w:t>符合磋商文件规定的其他应审查的内容</w:t>
            </w:r>
          </w:p>
        </w:tc>
        <w:tc>
          <w:tcPr>
            <w:tcW w:w="1559" w:type="dxa"/>
            <w:vAlign w:val="center"/>
          </w:tcPr>
          <w:p>
            <w:pPr>
              <w:spacing w:line="240" w:lineRule="auto"/>
              <w:jc w:val="center"/>
              <w:rPr>
                <w:rFonts w:ascii="宋体" w:hAnsi="宋体"/>
                <w:sz w:val="21"/>
                <w:szCs w:val="21"/>
              </w:rPr>
            </w:pPr>
          </w:p>
        </w:tc>
      </w:tr>
    </w:tbl>
    <w:p>
      <w:pPr>
        <w:spacing w:before="120" w:beforeLines="50" w:line="360" w:lineRule="auto"/>
        <w:jc w:val="both"/>
        <w:rPr>
          <w:rFonts w:ascii="宋体" w:hAnsi="宋体"/>
          <w:b/>
          <w:spacing w:val="10"/>
          <w:sz w:val="21"/>
          <w:szCs w:val="21"/>
        </w:rPr>
      </w:pPr>
      <w:r>
        <w:rPr>
          <w:rFonts w:hint="eastAsia" w:ascii="宋体" w:hAnsi="宋体"/>
          <w:b/>
          <w:spacing w:val="10"/>
          <w:sz w:val="21"/>
          <w:szCs w:val="21"/>
        </w:rPr>
        <w:t>备注：供应商须将符合性检查响应对照表填入相应的页码后放入响应文件，以便评委查阅。</w:t>
      </w:r>
    </w:p>
    <w:p>
      <w:pPr>
        <w:pStyle w:val="4"/>
        <w:rPr>
          <w:rFonts w:hint="eastAsia"/>
        </w:rPr>
      </w:pPr>
      <w:r>
        <w:rPr>
          <w:rFonts w:ascii="宋体" w:hAnsi="宋体"/>
          <w:spacing w:val="10"/>
          <w:sz w:val="21"/>
          <w:szCs w:val="21"/>
        </w:rPr>
        <w:br w:type="page"/>
      </w:r>
      <w:r>
        <w:rPr>
          <w:rFonts w:hint="eastAsia"/>
        </w:rPr>
        <w:t>评分细则响应对照表</w:t>
      </w:r>
    </w:p>
    <w:tbl>
      <w:tblPr>
        <w:tblStyle w:val="34"/>
        <w:tblW w:w="90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41"/>
        <w:gridCol w:w="4950"/>
        <w:gridCol w:w="73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163" w:type="dxa"/>
            <w:gridSpan w:val="3"/>
            <w:noWrap w:val="0"/>
            <w:vAlign w:val="center"/>
          </w:tcPr>
          <w:p>
            <w:pPr>
              <w:widowControl/>
              <w:adjustRightInd/>
              <w:spacing w:line="360" w:lineRule="auto"/>
              <w:jc w:val="center"/>
              <w:textAlignment w:val="auto"/>
              <w:rPr>
                <w:rFonts w:hint="eastAsia" w:ascii="宋体" w:hAnsi="宋体" w:cs="宋体"/>
                <w:sz w:val="21"/>
                <w:szCs w:val="21"/>
              </w:rPr>
            </w:pPr>
            <w:r>
              <w:rPr>
                <w:rFonts w:hint="eastAsia" w:ascii="宋体" w:hAnsi="宋体" w:cs="宋体"/>
                <w:sz w:val="21"/>
                <w:szCs w:val="21"/>
              </w:rPr>
              <w:t>评分项</w:t>
            </w:r>
          </w:p>
        </w:tc>
        <w:tc>
          <w:tcPr>
            <w:tcW w:w="736" w:type="dxa"/>
            <w:noWrap w:val="0"/>
            <w:vAlign w:val="center"/>
          </w:tcPr>
          <w:p>
            <w:pPr>
              <w:spacing w:line="276" w:lineRule="auto"/>
              <w:jc w:val="center"/>
              <w:rPr>
                <w:rFonts w:hint="eastAsia" w:ascii="宋体" w:hAnsi="宋体"/>
                <w:sz w:val="21"/>
                <w:szCs w:val="21"/>
              </w:rPr>
            </w:pPr>
            <w:r>
              <w:rPr>
                <w:rFonts w:hint="eastAsia" w:ascii="宋体" w:hAnsi="宋体"/>
                <w:sz w:val="21"/>
                <w:szCs w:val="21"/>
              </w:rPr>
              <w:t>分值</w:t>
            </w:r>
          </w:p>
        </w:tc>
        <w:tc>
          <w:tcPr>
            <w:tcW w:w="1132" w:type="dxa"/>
            <w:noWrap w:val="0"/>
            <w:vAlign w:val="center"/>
          </w:tcPr>
          <w:p>
            <w:pPr>
              <w:spacing w:line="276" w:lineRule="auto"/>
              <w:jc w:val="center"/>
              <w:rPr>
                <w:rFonts w:hint="eastAsia" w:ascii="宋体" w:hAnsi="宋体"/>
                <w:sz w:val="21"/>
                <w:szCs w:val="21"/>
              </w:rPr>
            </w:pPr>
            <w:r>
              <w:rPr>
                <w:rFonts w:hint="eastAsia" w:ascii="宋体" w:hAnsi="宋体"/>
                <w:sz w:val="21"/>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72" w:type="dxa"/>
            <w:noWrap w:val="0"/>
            <w:vAlign w:val="center"/>
          </w:tcPr>
          <w:p>
            <w:pPr>
              <w:widowControl/>
              <w:adjustRightInd/>
              <w:spacing w:line="360" w:lineRule="auto"/>
              <w:jc w:val="center"/>
              <w:textAlignment w:val="auto"/>
              <w:rPr>
                <w:rFonts w:ascii="宋体" w:hAnsi="宋体" w:cs="宋体"/>
                <w:sz w:val="21"/>
                <w:szCs w:val="21"/>
              </w:rPr>
            </w:pPr>
            <w:r>
              <w:rPr>
                <w:rFonts w:hint="eastAsia" w:ascii="新宋体" w:hAnsi="新宋体" w:eastAsia="新宋体" w:cs="新宋体"/>
                <w:spacing w:val="-4"/>
                <w:kern w:val="2"/>
                <w:sz w:val="21"/>
                <w:szCs w:val="21"/>
              </w:rPr>
              <w:t>价格  （</w:t>
            </w:r>
            <w:r>
              <w:rPr>
                <w:rFonts w:hint="default" w:ascii="新宋体" w:hAnsi="新宋体" w:eastAsia="新宋体" w:cs="新宋体"/>
                <w:spacing w:val="-4"/>
                <w:kern w:val="2"/>
                <w:sz w:val="21"/>
                <w:szCs w:val="21"/>
              </w:rPr>
              <w:t>2</w:t>
            </w:r>
            <w:r>
              <w:rPr>
                <w:rFonts w:hint="eastAsia" w:ascii="新宋体" w:hAnsi="新宋体" w:eastAsia="新宋体" w:cs="新宋体"/>
                <w:spacing w:val="-4"/>
                <w:kern w:val="2"/>
                <w:sz w:val="21"/>
                <w:szCs w:val="21"/>
              </w:rPr>
              <w:t>5分）</w:t>
            </w:r>
          </w:p>
        </w:tc>
        <w:tc>
          <w:tcPr>
            <w:tcW w:w="1241" w:type="dxa"/>
            <w:noWrap w:val="0"/>
            <w:vAlign w:val="center"/>
          </w:tcPr>
          <w:p>
            <w:pPr>
              <w:adjustRightInd/>
              <w:spacing w:line="240" w:lineRule="auto"/>
              <w:jc w:val="center"/>
              <w:textAlignment w:val="auto"/>
              <w:rPr>
                <w:rFonts w:hint="eastAsia" w:ascii="宋体" w:hAnsi="宋体" w:cs="新宋体"/>
                <w:spacing w:val="-4"/>
                <w:kern w:val="2"/>
                <w:sz w:val="21"/>
                <w:szCs w:val="21"/>
              </w:rPr>
            </w:pPr>
            <w:r>
              <w:rPr>
                <w:rFonts w:hint="eastAsia" w:ascii="宋体" w:hAnsi="宋体" w:cs="新宋体"/>
                <w:spacing w:val="-4"/>
                <w:kern w:val="2"/>
                <w:sz w:val="21"/>
                <w:szCs w:val="21"/>
              </w:rPr>
              <w:t>响应报价</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宋体" w:hAnsi="宋体" w:cs="宋体"/>
                <w:sz w:val="21"/>
                <w:szCs w:val="21"/>
              </w:rPr>
              <w:t>满足磋商文件要求且最终报价最低的供应商的价格为磋商基准价，其价格分为满分。其他供应商的报价得分统一按照下列公式计算：磋商报价得分=（磋商基准价/最终磋商报价）×</w:t>
            </w:r>
            <w:r>
              <w:rPr>
                <w:rFonts w:hint="default" w:ascii="宋体" w:hAnsi="宋体" w:cs="宋体"/>
                <w:sz w:val="21"/>
                <w:szCs w:val="21"/>
              </w:rPr>
              <w:t>25</w:t>
            </w:r>
            <w:r>
              <w:rPr>
                <w:rFonts w:hint="eastAsia" w:ascii="宋体" w:hAnsi="宋体" w:cs="宋体"/>
                <w:sz w:val="21"/>
                <w:szCs w:val="21"/>
              </w:rPr>
              <w:t>%×100分。</w:t>
            </w:r>
          </w:p>
        </w:tc>
        <w:tc>
          <w:tcPr>
            <w:tcW w:w="736" w:type="dxa"/>
            <w:noWrap w:val="0"/>
            <w:vAlign w:val="center"/>
          </w:tcPr>
          <w:p>
            <w:pPr>
              <w:widowControl/>
              <w:adjustRightInd/>
              <w:spacing w:line="360" w:lineRule="auto"/>
              <w:jc w:val="center"/>
              <w:textAlignment w:val="auto"/>
              <w:rPr>
                <w:rFonts w:hint="default" w:ascii="宋体" w:hAnsi="宋体" w:cs="宋体"/>
                <w:sz w:val="21"/>
                <w:szCs w:val="21"/>
              </w:rPr>
            </w:pPr>
            <w:r>
              <w:rPr>
                <w:rFonts w:ascii="宋体" w:hAnsi="宋体" w:cs="宋体"/>
                <w:sz w:val="21"/>
                <w:szCs w:val="21"/>
              </w:rPr>
              <w:t>25</w:t>
            </w:r>
          </w:p>
        </w:tc>
        <w:tc>
          <w:tcPr>
            <w:tcW w:w="1132" w:type="dxa"/>
            <w:noWrap w:val="0"/>
            <w:vAlign w:val="center"/>
          </w:tcPr>
          <w:p>
            <w:pPr>
              <w:widowControl/>
              <w:adjustRightInd/>
              <w:spacing w:line="360" w:lineRule="auto"/>
              <w:jc w:val="center"/>
              <w:textAlignment w:val="auto"/>
              <w:rPr>
                <w:rFonts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72" w:type="dxa"/>
            <w:vMerge w:val="restart"/>
            <w:noWrap w:val="0"/>
            <w:vAlign w:val="center"/>
          </w:tcPr>
          <w:p>
            <w:pPr>
              <w:widowControl/>
              <w:adjustRightInd/>
              <w:spacing w:line="360" w:lineRule="auto"/>
              <w:jc w:val="center"/>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商务和技术（</w:t>
            </w:r>
            <w:r>
              <w:rPr>
                <w:rFonts w:hint="default" w:ascii="新宋体" w:hAnsi="新宋体" w:eastAsia="新宋体" w:cs="新宋体"/>
                <w:spacing w:val="-4"/>
                <w:kern w:val="2"/>
                <w:sz w:val="21"/>
                <w:szCs w:val="21"/>
              </w:rPr>
              <w:t>7</w:t>
            </w:r>
            <w:r>
              <w:rPr>
                <w:rFonts w:hint="eastAsia" w:ascii="新宋体" w:hAnsi="新宋体" w:eastAsia="新宋体" w:cs="新宋体"/>
                <w:spacing w:val="-4"/>
                <w:kern w:val="2"/>
                <w:sz w:val="21"/>
                <w:szCs w:val="21"/>
              </w:rPr>
              <w:t>5分）</w:t>
            </w:r>
          </w:p>
        </w:tc>
        <w:tc>
          <w:tcPr>
            <w:tcW w:w="1241" w:type="dxa"/>
            <w:noWrap w:val="0"/>
            <w:vAlign w:val="center"/>
          </w:tcPr>
          <w:p>
            <w:pPr>
              <w:adjustRightInd/>
              <w:spacing w:line="240" w:lineRule="auto"/>
              <w:jc w:val="center"/>
              <w:textAlignment w:val="auto"/>
              <w:rPr>
                <w:rFonts w:hint="eastAsia" w:ascii="宋体" w:hAnsi="宋体" w:cs="新宋体"/>
                <w:spacing w:val="-4"/>
                <w:kern w:val="2"/>
                <w:sz w:val="21"/>
                <w:szCs w:val="21"/>
              </w:rPr>
            </w:pPr>
            <w:r>
              <w:rPr>
                <w:rFonts w:hint="eastAsia" w:ascii="宋体" w:hAnsi="宋体" w:cs="新宋体"/>
                <w:spacing w:val="-4"/>
                <w:kern w:val="2"/>
                <w:sz w:val="21"/>
                <w:szCs w:val="21"/>
              </w:rPr>
              <w:t>类似业绩</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近五年</w:t>
            </w:r>
            <w:r>
              <w:rPr>
                <w:rFonts w:hint="eastAsia" w:ascii="宋体" w:hAnsi="宋体"/>
                <w:sz w:val="21"/>
                <w:szCs w:val="21"/>
              </w:rPr>
              <w:t>（</w:t>
            </w:r>
            <w:r>
              <w:rPr>
                <w:rFonts w:hint="eastAsia" w:ascii="宋体" w:hAnsi="宋体"/>
                <w:spacing w:val="10"/>
                <w:sz w:val="21"/>
                <w:szCs w:val="21"/>
              </w:rPr>
              <w:t>磋商截止时间往前推算五年</w:t>
            </w:r>
            <w:r>
              <w:rPr>
                <w:rFonts w:hint="eastAsia" w:ascii="宋体" w:hAnsi="宋体"/>
                <w:sz w:val="21"/>
                <w:szCs w:val="21"/>
              </w:rPr>
              <w:t>）</w:t>
            </w:r>
            <w:r>
              <w:rPr>
                <w:rFonts w:hint="eastAsia" w:ascii="新宋体" w:hAnsi="新宋体" w:eastAsia="新宋体" w:cs="新宋体"/>
                <w:spacing w:val="-4"/>
                <w:kern w:val="2"/>
                <w:sz w:val="21"/>
                <w:szCs w:val="21"/>
              </w:rPr>
              <w:t>承接过类似项目，每提供1份得4分，最多12分。</w:t>
            </w:r>
            <w:r>
              <w:rPr>
                <w:rFonts w:hint="eastAsia" w:ascii="新宋体" w:hAnsi="新宋体" w:eastAsia="新宋体" w:cs="新宋体"/>
                <w:b/>
                <w:spacing w:val="-4"/>
                <w:kern w:val="2"/>
                <w:sz w:val="21"/>
                <w:szCs w:val="21"/>
              </w:rPr>
              <w:t>（提供合同复印件，未提供不得分）</w:t>
            </w:r>
          </w:p>
        </w:tc>
        <w:tc>
          <w:tcPr>
            <w:tcW w:w="736" w:type="dxa"/>
            <w:noWrap w:val="0"/>
            <w:vAlign w:val="center"/>
          </w:tcPr>
          <w:p>
            <w:pPr>
              <w:widowControl/>
              <w:adjustRightInd/>
              <w:spacing w:line="360" w:lineRule="auto"/>
              <w:jc w:val="center"/>
              <w:textAlignment w:val="auto"/>
              <w:rPr>
                <w:rFonts w:hint="eastAsia" w:ascii="宋体" w:hAnsi="宋体" w:cs="宋体"/>
                <w:sz w:val="21"/>
                <w:szCs w:val="21"/>
              </w:rPr>
            </w:pPr>
            <w:r>
              <w:rPr>
                <w:rFonts w:hint="eastAsia" w:ascii="宋体" w:hAnsi="宋体" w:cs="宋体"/>
                <w:sz w:val="21"/>
                <w:szCs w:val="21"/>
              </w:rPr>
              <w:t>12</w:t>
            </w:r>
          </w:p>
        </w:tc>
        <w:tc>
          <w:tcPr>
            <w:tcW w:w="1132" w:type="dxa"/>
            <w:noWrap w:val="0"/>
            <w:vAlign w:val="center"/>
          </w:tcPr>
          <w:p>
            <w:pPr>
              <w:widowControl/>
              <w:adjustRightInd/>
              <w:spacing w:line="360" w:lineRule="auto"/>
              <w:jc w:val="center"/>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972" w:type="dxa"/>
            <w:vMerge w:val="continue"/>
            <w:noWrap w:val="0"/>
            <w:vAlign w:val="center"/>
          </w:tcPr>
          <w:p>
            <w:pPr>
              <w:widowControl/>
              <w:adjustRightInd/>
              <w:spacing w:line="360" w:lineRule="auto"/>
              <w:jc w:val="center"/>
              <w:textAlignment w:val="auto"/>
              <w:rPr>
                <w:rFonts w:ascii="宋体" w:hAnsi="宋体" w:cs="宋体"/>
                <w:sz w:val="21"/>
                <w:szCs w:val="21"/>
              </w:rPr>
            </w:pPr>
          </w:p>
        </w:tc>
        <w:tc>
          <w:tcPr>
            <w:tcW w:w="1241" w:type="dxa"/>
            <w:noWrap w:val="0"/>
            <w:vAlign w:val="center"/>
          </w:tcPr>
          <w:p>
            <w:pPr>
              <w:adjustRightInd/>
              <w:spacing w:line="240" w:lineRule="auto"/>
              <w:jc w:val="center"/>
              <w:textAlignment w:val="auto"/>
              <w:rPr>
                <w:rFonts w:hint="eastAsia" w:ascii="宋体" w:hAnsi="宋体" w:cs="新宋体"/>
                <w:spacing w:val="-4"/>
                <w:kern w:val="2"/>
                <w:sz w:val="21"/>
                <w:szCs w:val="21"/>
              </w:rPr>
            </w:pPr>
            <w:r>
              <w:rPr>
                <w:rFonts w:hint="eastAsia" w:ascii="宋体" w:hAnsi="宋体" w:cs="新宋体"/>
                <w:spacing w:val="-4"/>
                <w:kern w:val="2"/>
                <w:sz w:val="21"/>
                <w:szCs w:val="21"/>
              </w:rPr>
              <w:t>技术参数及要求</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根据供应商提供的所投产品功能要求：</w:t>
            </w:r>
          </w:p>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全部满足磋商文件功能要求得基准分</w:t>
            </w:r>
            <w:r>
              <w:rPr>
                <w:rFonts w:hint="default" w:ascii="新宋体" w:hAnsi="新宋体" w:eastAsia="新宋体" w:cs="新宋体"/>
                <w:spacing w:val="-4"/>
                <w:kern w:val="2"/>
                <w:sz w:val="21"/>
                <w:szCs w:val="21"/>
              </w:rPr>
              <w:t>30</w:t>
            </w:r>
            <w:r>
              <w:rPr>
                <w:rFonts w:hint="eastAsia" w:ascii="新宋体" w:hAnsi="新宋体" w:eastAsia="新宋体" w:cs="新宋体"/>
                <w:spacing w:val="-4"/>
                <w:kern w:val="2"/>
                <w:sz w:val="21"/>
                <w:szCs w:val="21"/>
              </w:rPr>
              <w:t>分，每负偏离一项扣0.5分，扣完为止。</w:t>
            </w:r>
          </w:p>
          <w:p>
            <w:pPr>
              <w:adjustRightInd/>
              <w:spacing w:line="240" w:lineRule="auto"/>
              <w:jc w:val="both"/>
              <w:textAlignment w:val="auto"/>
              <w:rPr>
                <w:rFonts w:hint="eastAsia" w:ascii="新宋体" w:hAnsi="新宋体" w:eastAsia="新宋体" w:cs="新宋体"/>
                <w:b/>
                <w:spacing w:val="-4"/>
                <w:kern w:val="2"/>
                <w:sz w:val="21"/>
                <w:szCs w:val="21"/>
              </w:rPr>
            </w:pPr>
            <w:r>
              <w:rPr>
                <w:rFonts w:hint="eastAsia" w:ascii="新宋体" w:hAnsi="新宋体" w:eastAsia="新宋体" w:cs="新宋体"/>
                <w:b/>
                <w:spacing w:val="-4"/>
                <w:kern w:val="2"/>
                <w:sz w:val="21"/>
                <w:szCs w:val="21"/>
              </w:rPr>
              <w:t>注：供应商所投产品的功能要求必须提供操作界面功能截图证明材料佐证，未提供操作界面功能截图证明材料佐证的不得分。</w:t>
            </w:r>
          </w:p>
        </w:tc>
        <w:tc>
          <w:tcPr>
            <w:tcW w:w="736" w:type="dxa"/>
            <w:noWrap w:val="0"/>
            <w:vAlign w:val="center"/>
          </w:tcPr>
          <w:p>
            <w:pPr>
              <w:widowControl/>
              <w:adjustRightInd/>
              <w:spacing w:line="360" w:lineRule="auto"/>
              <w:jc w:val="center"/>
              <w:textAlignment w:val="auto"/>
              <w:rPr>
                <w:rFonts w:hint="default" w:ascii="宋体" w:hAnsi="宋体" w:cs="宋体"/>
                <w:sz w:val="21"/>
                <w:szCs w:val="21"/>
              </w:rPr>
            </w:pPr>
            <w:r>
              <w:rPr>
                <w:rFonts w:hint="default" w:ascii="宋体" w:hAnsi="宋体" w:cs="宋体"/>
                <w:sz w:val="21"/>
                <w:szCs w:val="21"/>
              </w:rPr>
              <w:t>30</w:t>
            </w:r>
          </w:p>
        </w:tc>
        <w:tc>
          <w:tcPr>
            <w:tcW w:w="1132" w:type="dxa"/>
            <w:noWrap w:val="0"/>
            <w:vAlign w:val="center"/>
          </w:tcPr>
          <w:p>
            <w:pPr>
              <w:widowControl/>
              <w:adjustRightInd/>
              <w:spacing w:line="360" w:lineRule="auto"/>
              <w:jc w:val="center"/>
              <w:textAlignment w:val="auto"/>
              <w:rPr>
                <w:rFonts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72" w:type="dxa"/>
            <w:vMerge w:val="continue"/>
            <w:noWrap w:val="0"/>
            <w:vAlign w:val="center"/>
          </w:tcPr>
          <w:p>
            <w:pPr>
              <w:widowControl/>
              <w:adjustRightInd/>
              <w:spacing w:line="360" w:lineRule="auto"/>
              <w:jc w:val="center"/>
              <w:textAlignment w:val="auto"/>
              <w:rPr>
                <w:rFonts w:hint="eastAsia" w:ascii="宋体" w:hAnsi="宋体" w:cs="宋体"/>
                <w:sz w:val="21"/>
                <w:szCs w:val="21"/>
              </w:rPr>
            </w:pPr>
          </w:p>
        </w:tc>
        <w:tc>
          <w:tcPr>
            <w:tcW w:w="1241" w:type="dxa"/>
            <w:noWrap w:val="0"/>
            <w:vAlign w:val="center"/>
          </w:tcPr>
          <w:p>
            <w:pPr>
              <w:adjustRightInd/>
              <w:spacing w:line="240" w:lineRule="auto"/>
              <w:jc w:val="center"/>
              <w:textAlignment w:val="auto"/>
              <w:rPr>
                <w:rFonts w:hint="eastAsia" w:ascii="宋体" w:hAnsi="宋体"/>
                <w:kern w:val="2"/>
                <w:sz w:val="21"/>
                <w:szCs w:val="21"/>
              </w:rPr>
            </w:pPr>
            <w:r>
              <w:rPr>
                <w:rFonts w:hint="eastAsia" w:ascii="宋体" w:hAnsi="宋体"/>
                <w:kern w:val="2"/>
                <w:sz w:val="21"/>
                <w:szCs w:val="21"/>
              </w:rPr>
              <w:t>交货期保证措施</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根据</w:t>
            </w:r>
            <w:r>
              <w:rPr>
                <w:rFonts w:hint="eastAsia" w:ascii="宋体" w:hAnsi="宋体"/>
                <w:kern w:val="2"/>
                <w:sz w:val="21"/>
                <w:szCs w:val="21"/>
              </w:rPr>
              <w:t>供应商</w:t>
            </w:r>
            <w:r>
              <w:rPr>
                <w:rFonts w:hint="eastAsia" w:ascii="新宋体" w:hAnsi="新宋体" w:eastAsia="新宋体" w:cs="新宋体"/>
                <w:spacing w:val="-4"/>
                <w:kern w:val="2"/>
                <w:sz w:val="21"/>
                <w:szCs w:val="21"/>
              </w:rPr>
              <w:t>提供的交货期保障措施：周详、科学合理得5-7分；基本合理得2-4分；不合理0分</w:t>
            </w:r>
          </w:p>
        </w:tc>
        <w:tc>
          <w:tcPr>
            <w:tcW w:w="736" w:type="dxa"/>
            <w:noWrap w:val="0"/>
            <w:vAlign w:val="center"/>
          </w:tcPr>
          <w:p>
            <w:pPr>
              <w:widowControl/>
              <w:adjustRightInd/>
              <w:spacing w:line="360" w:lineRule="auto"/>
              <w:jc w:val="center"/>
              <w:textAlignment w:val="auto"/>
              <w:rPr>
                <w:rFonts w:hint="eastAsia" w:ascii="宋体" w:hAnsi="宋体" w:cs="宋体"/>
                <w:sz w:val="21"/>
                <w:szCs w:val="21"/>
              </w:rPr>
            </w:pPr>
            <w:r>
              <w:rPr>
                <w:rFonts w:hint="eastAsia" w:ascii="宋体" w:hAnsi="宋体" w:cs="宋体"/>
                <w:sz w:val="21"/>
                <w:szCs w:val="21"/>
              </w:rPr>
              <w:t>7</w:t>
            </w:r>
          </w:p>
        </w:tc>
        <w:tc>
          <w:tcPr>
            <w:tcW w:w="1132" w:type="dxa"/>
            <w:noWrap w:val="0"/>
            <w:vAlign w:val="center"/>
          </w:tcPr>
          <w:p>
            <w:pPr>
              <w:adjustRightInd/>
              <w:spacing w:line="276" w:lineRule="auto"/>
              <w:jc w:val="center"/>
              <w:textAlignment w:val="auto"/>
              <w:rPr>
                <w:rFonts w:hint="eastAsia"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72" w:type="dxa"/>
            <w:vMerge w:val="continue"/>
            <w:noWrap w:val="0"/>
            <w:vAlign w:val="center"/>
          </w:tcPr>
          <w:p>
            <w:pPr>
              <w:widowControl/>
              <w:adjustRightInd/>
              <w:spacing w:line="360" w:lineRule="auto"/>
              <w:jc w:val="center"/>
              <w:textAlignment w:val="auto"/>
              <w:rPr>
                <w:rFonts w:hint="eastAsia" w:ascii="宋体" w:hAnsi="宋体" w:cs="宋体"/>
                <w:sz w:val="21"/>
                <w:szCs w:val="21"/>
              </w:rPr>
            </w:pPr>
          </w:p>
        </w:tc>
        <w:tc>
          <w:tcPr>
            <w:tcW w:w="1241" w:type="dxa"/>
            <w:noWrap w:val="0"/>
            <w:vAlign w:val="center"/>
          </w:tcPr>
          <w:p>
            <w:pPr>
              <w:adjustRightInd/>
              <w:spacing w:line="240" w:lineRule="auto"/>
              <w:jc w:val="center"/>
              <w:textAlignment w:val="auto"/>
              <w:rPr>
                <w:rFonts w:hint="eastAsia" w:ascii="宋体" w:hAnsi="宋体" w:cs="新宋体"/>
                <w:spacing w:val="-4"/>
                <w:kern w:val="2"/>
                <w:sz w:val="21"/>
                <w:szCs w:val="21"/>
              </w:rPr>
            </w:pPr>
            <w:r>
              <w:rPr>
                <w:rFonts w:hint="eastAsia" w:ascii="宋体" w:hAnsi="宋体"/>
                <w:kern w:val="2"/>
                <w:sz w:val="21"/>
                <w:szCs w:val="21"/>
              </w:rPr>
              <w:t>质量保障措施</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根据</w:t>
            </w:r>
            <w:r>
              <w:rPr>
                <w:rFonts w:hint="eastAsia" w:ascii="宋体" w:hAnsi="宋体"/>
                <w:kern w:val="2"/>
                <w:sz w:val="21"/>
                <w:szCs w:val="21"/>
              </w:rPr>
              <w:t>供应商</w:t>
            </w:r>
            <w:r>
              <w:rPr>
                <w:rFonts w:hint="eastAsia" w:ascii="新宋体" w:hAnsi="新宋体" w:eastAsia="新宋体" w:cs="新宋体"/>
                <w:spacing w:val="-4"/>
                <w:kern w:val="2"/>
                <w:sz w:val="21"/>
                <w:szCs w:val="21"/>
              </w:rPr>
              <w:t>提供的质量保障措施：合理得5-</w:t>
            </w:r>
            <w:r>
              <w:rPr>
                <w:rFonts w:hint="default" w:ascii="新宋体" w:hAnsi="新宋体" w:eastAsia="新宋体" w:cs="新宋体"/>
                <w:spacing w:val="-4"/>
                <w:kern w:val="2"/>
                <w:sz w:val="21"/>
                <w:szCs w:val="21"/>
              </w:rPr>
              <w:t>8</w:t>
            </w:r>
            <w:r>
              <w:rPr>
                <w:rFonts w:hint="eastAsia" w:ascii="新宋体" w:hAnsi="新宋体" w:eastAsia="新宋体" w:cs="新宋体"/>
                <w:spacing w:val="-4"/>
                <w:kern w:val="2"/>
                <w:sz w:val="21"/>
                <w:szCs w:val="21"/>
              </w:rPr>
              <w:t>分；基本合理得2-4分；不合理0分。</w:t>
            </w:r>
          </w:p>
        </w:tc>
        <w:tc>
          <w:tcPr>
            <w:tcW w:w="736" w:type="dxa"/>
            <w:noWrap w:val="0"/>
            <w:vAlign w:val="center"/>
          </w:tcPr>
          <w:p>
            <w:pPr>
              <w:widowControl/>
              <w:adjustRightInd/>
              <w:spacing w:line="360" w:lineRule="auto"/>
              <w:jc w:val="center"/>
              <w:textAlignment w:val="auto"/>
              <w:rPr>
                <w:rFonts w:hint="default" w:ascii="宋体" w:hAnsi="宋体" w:cs="宋体"/>
                <w:sz w:val="21"/>
                <w:szCs w:val="21"/>
              </w:rPr>
            </w:pPr>
            <w:r>
              <w:rPr>
                <w:rFonts w:hint="default" w:ascii="宋体" w:hAnsi="宋体" w:cs="宋体"/>
                <w:sz w:val="21"/>
                <w:szCs w:val="21"/>
              </w:rPr>
              <w:t>8</w:t>
            </w:r>
          </w:p>
        </w:tc>
        <w:tc>
          <w:tcPr>
            <w:tcW w:w="1132" w:type="dxa"/>
            <w:noWrap w:val="0"/>
            <w:vAlign w:val="center"/>
          </w:tcPr>
          <w:p>
            <w:pPr>
              <w:adjustRightInd/>
              <w:spacing w:line="276" w:lineRule="auto"/>
              <w:jc w:val="center"/>
              <w:textAlignment w:val="auto"/>
              <w:rPr>
                <w:rFonts w:hint="eastAsia"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72" w:type="dxa"/>
            <w:vMerge w:val="continue"/>
            <w:noWrap w:val="0"/>
            <w:vAlign w:val="center"/>
          </w:tcPr>
          <w:p>
            <w:pPr>
              <w:widowControl/>
              <w:adjustRightInd/>
              <w:spacing w:line="360" w:lineRule="auto"/>
              <w:jc w:val="center"/>
              <w:textAlignment w:val="auto"/>
              <w:rPr>
                <w:rFonts w:hint="eastAsia" w:ascii="宋体" w:hAnsi="宋体" w:cs="宋体"/>
                <w:sz w:val="21"/>
                <w:szCs w:val="21"/>
              </w:rPr>
            </w:pPr>
          </w:p>
        </w:tc>
        <w:tc>
          <w:tcPr>
            <w:tcW w:w="1241" w:type="dxa"/>
            <w:noWrap w:val="0"/>
            <w:vAlign w:val="center"/>
          </w:tcPr>
          <w:p>
            <w:pPr>
              <w:widowControl/>
              <w:adjustRightInd/>
              <w:spacing w:line="276" w:lineRule="auto"/>
              <w:jc w:val="center"/>
              <w:textAlignment w:val="auto"/>
              <w:rPr>
                <w:rFonts w:hint="eastAsia" w:ascii="宋体" w:hAnsi="宋体" w:cs="Calibri"/>
                <w:kern w:val="2"/>
                <w:sz w:val="21"/>
                <w:szCs w:val="21"/>
              </w:rPr>
            </w:pPr>
            <w:r>
              <w:rPr>
                <w:rFonts w:hint="eastAsia" w:ascii="宋体" w:hAnsi="宋体"/>
                <w:kern w:val="2"/>
                <w:sz w:val="21"/>
                <w:szCs w:val="21"/>
              </w:rPr>
              <w:t>技术培训方案</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根据</w:t>
            </w:r>
            <w:r>
              <w:rPr>
                <w:rFonts w:hint="eastAsia" w:ascii="宋体" w:hAnsi="宋体"/>
                <w:kern w:val="2"/>
                <w:sz w:val="21"/>
                <w:szCs w:val="21"/>
              </w:rPr>
              <w:t>供应商</w:t>
            </w:r>
            <w:r>
              <w:rPr>
                <w:rFonts w:hint="eastAsia" w:ascii="新宋体" w:hAnsi="新宋体" w:eastAsia="新宋体" w:cs="新宋体"/>
                <w:spacing w:val="-4"/>
                <w:kern w:val="2"/>
                <w:sz w:val="21"/>
                <w:szCs w:val="21"/>
              </w:rPr>
              <w:t>提供的培训方案（包括专业技术培训人员配备、培训计划、培训内容等</w:t>
            </w:r>
            <w:r>
              <w:rPr>
                <w:rFonts w:ascii="新宋体" w:hAnsi="新宋体" w:eastAsia="新宋体" w:cs="新宋体"/>
                <w:spacing w:val="-4"/>
                <w:kern w:val="2"/>
                <w:sz w:val="21"/>
                <w:szCs w:val="21"/>
              </w:rPr>
              <w:t>）</w:t>
            </w:r>
            <w:r>
              <w:rPr>
                <w:rFonts w:hint="eastAsia" w:ascii="新宋体" w:hAnsi="新宋体" w:eastAsia="新宋体" w:cs="新宋体"/>
                <w:spacing w:val="-4"/>
                <w:kern w:val="2"/>
                <w:sz w:val="21"/>
                <w:szCs w:val="21"/>
              </w:rPr>
              <w:t>：合理得5-</w:t>
            </w:r>
            <w:r>
              <w:rPr>
                <w:rFonts w:hint="default" w:ascii="新宋体" w:hAnsi="新宋体" w:eastAsia="新宋体" w:cs="新宋体"/>
                <w:spacing w:val="-4"/>
                <w:kern w:val="2"/>
                <w:sz w:val="21"/>
                <w:szCs w:val="21"/>
              </w:rPr>
              <w:t>8</w:t>
            </w:r>
            <w:r>
              <w:rPr>
                <w:rFonts w:hint="eastAsia" w:ascii="新宋体" w:hAnsi="新宋体" w:eastAsia="新宋体" w:cs="新宋体"/>
                <w:spacing w:val="-4"/>
                <w:kern w:val="2"/>
                <w:sz w:val="21"/>
                <w:szCs w:val="21"/>
              </w:rPr>
              <w:t>分；基本合理得2-4分；不合理0分。</w:t>
            </w:r>
          </w:p>
        </w:tc>
        <w:tc>
          <w:tcPr>
            <w:tcW w:w="736" w:type="dxa"/>
            <w:noWrap w:val="0"/>
            <w:vAlign w:val="center"/>
          </w:tcPr>
          <w:p>
            <w:pPr>
              <w:adjustRightInd/>
              <w:spacing w:line="276" w:lineRule="auto"/>
              <w:jc w:val="center"/>
              <w:textAlignment w:val="auto"/>
              <w:rPr>
                <w:rFonts w:hint="default" w:ascii="宋体" w:hAnsi="宋体" w:cs="宋体"/>
                <w:sz w:val="21"/>
                <w:szCs w:val="21"/>
              </w:rPr>
            </w:pPr>
            <w:r>
              <w:rPr>
                <w:rFonts w:ascii="宋体" w:hAnsi="宋体" w:cs="宋体"/>
                <w:sz w:val="21"/>
                <w:szCs w:val="21"/>
              </w:rPr>
              <w:t>8</w:t>
            </w:r>
          </w:p>
        </w:tc>
        <w:tc>
          <w:tcPr>
            <w:tcW w:w="1132" w:type="dxa"/>
            <w:noWrap w:val="0"/>
            <w:vAlign w:val="center"/>
          </w:tcPr>
          <w:p>
            <w:pPr>
              <w:adjustRightInd/>
              <w:spacing w:line="276" w:lineRule="auto"/>
              <w:jc w:val="center"/>
              <w:textAlignment w:val="auto"/>
              <w:rPr>
                <w:rFonts w:hint="eastAsia"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72" w:type="dxa"/>
            <w:vMerge w:val="continue"/>
            <w:noWrap w:val="0"/>
            <w:vAlign w:val="center"/>
          </w:tcPr>
          <w:p>
            <w:pPr>
              <w:widowControl/>
              <w:adjustRightInd/>
              <w:spacing w:line="360" w:lineRule="auto"/>
              <w:jc w:val="center"/>
              <w:textAlignment w:val="auto"/>
              <w:rPr>
                <w:rFonts w:hint="eastAsia" w:ascii="宋体" w:hAnsi="宋体" w:cs="宋体"/>
                <w:sz w:val="21"/>
                <w:szCs w:val="21"/>
              </w:rPr>
            </w:pPr>
          </w:p>
        </w:tc>
        <w:tc>
          <w:tcPr>
            <w:tcW w:w="1241" w:type="dxa"/>
            <w:vMerge w:val="restart"/>
            <w:noWrap w:val="0"/>
            <w:vAlign w:val="center"/>
          </w:tcPr>
          <w:p>
            <w:pPr>
              <w:widowControl/>
              <w:adjustRightInd/>
              <w:spacing w:line="276" w:lineRule="auto"/>
              <w:jc w:val="center"/>
              <w:textAlignment w:val="auto"/>
              <w:rPr>
                <w:rFonts w:hint="eastAsia" w:ascii="宋体" w:hAnsi="宋体" w:cs="新宋体"/>
                <w:spacing w:val="-4"/>
                <w:kern w:val="2"/>
                <w:sz w:val="21"/>
                <w:szCs w:val="21"/>
              </w:rPr>
            </w:pPr>
            <w:r>
              <w:rPr>
                <w:rFonts w:hint="eastAsia" w:ascii="宋体" w:hAnsi="宋体" w:cs="Calibri"/>
                <w:kern w:val="2"/>
                <w:sz w:val="21"/>
                <w:szCs w:val="21"/>
              </w:rPr>
              <w:t>售后服务</w:t>
            </w:r>
          </w:p>
        </w:tc>
        <w:tc>
          <w:tcPr>
            <w:tcW w:w="4950" w:type="dxa"/>
            <w:noWrap w:val="0"/>
            <w:vAlign w:val="center"/>
          </w:tcPr>
          <w:p>
            <w:pPr>
              <w:adjustRightInd/>
              <w:spacing w:line="240" w:lineRule="auto"/>
              <w:jc w:val="both"/>
              <w:textAlignment w:val="auto"/>
              <w:rPr>
                <w:rFonts w:hint="eastAsia" w:ascii="新宋体" w:hAnsi="新宋体" w:eastAsia="新宋体" w:cs="新宋体"/>
                <w:spacing w:val="-4"/>
                <w:kern w:val="2"/>
                <w:sz w:val="21"/>
                <w:szCs w:val="21"/>
              </w:rPr>
            </w:pPr>
            <w:r>
              <w:rPr>
                <w:rFonts w:hint="eastAsia" w:ascii="新宋体" w:hAnsi="新宋体" w:eastAsia="新宋体" w:cs="新宋体"/>
                <w:spacing w:val="-4"/>
                <w:kern w:val="2"/>
                <w:sz w:val="21"/>
                <w:szCs w:val="21"/>
              </w:rPr>
              <w:t>根据供应商提供的售后服务方案（包括售后服务人员的配备、售后服务能力、售后服务承诺等）：合理得</w:t>
            </w:r>
            <w:r>
              <w:rPr>
                <w:rFonts w:hint="default" w:ascii="新宋体" w:hAnsi="新宋体" w:eastAsia="新宋体" w:cs="新宋体"/>
                <w:spacing w:val="-4"/>
                <w:kern w:val="2"/>
                <w:sz w:val="21"/>
                <w:szCs w:val="21"/>
              </w:rPr>
              <w:t>5</w:t>
            </w:r>
            <w:r>
              <w:rPr>
                <w:rFonts w:hint="eastAsia" w:ascii="新宋体" w:hAnsi="新宋体" w:eastAsia="新宋体" w:cs="新宋体"/>
                <w:spacing w:val="-4"/>
                <w:kern w:val="2"/>
                <w:sz w:val="21"/>
                <w:szCs w:val="21"/>
              </w:rPr>
              <w:t>-</w:t>
            </w:r>
            <w:r>
              <w:rPr>
                <w:rFonts w:hint="default" w:ascii="新宋体" w:hAnsi="新宋体" w:eastAsia="新宋体" w:cs="新宋体"/>
                <w:spacing w:val="-4"/>
                <w:kern w:val="2"/>
                <w:sz w:val="21"/>
                <w:szCs w:val="21"/>
              </w:rPr>
              <w:t>8</w:t>
            </w:r>
            <w:r>
              <w:rPr>
                <w:rFonts w:hint="eastAsia" w:ascii="新宋体" w:hAnsi="新宋体" w:eastAsia="新宋体" w:cs="新宋体"/>
                <w:spacing w:val="-4"/>
                <w:kern w:val="2"/>
                <w:sz w:val="21"/>
                <w:szCs w:val="21"/>
              </w:rPr>
              <w:t>分；基本合理得</w:t>
            </w:r>
            <w:r>
              <w:rPr>
                <w:rFonts w:hint="default" w:ascii="新宋体" w:hAnsi="新宋体" w:eastAsia="新宋体" w:cs="新宋体"/>
                <w:spacing w:val="-4"/>
                <w:kern w:val="2"/>
                <w:sz w:val="21"/>
                <w:szCs w:val="21"/>
              </w:rPr>
              <w:t>2</w:t>
            </w:r>
            <w:r>
              <w:rPr>
                <w:rFonts w:hint="eastAsia" w:ascii="新宋体" w:hAnsi="新宋体" w:eastAsia="新宋体" w:cs="新宋体"/>
                <w:spacing w:val="-4"/>
                <w:kern w:val="2"/>
                <w:sz w:val="21"/>
                <w:szCs w:val="21"/>
              </w:rPr>
              <w:t>-</w:t>
            </w:r>
            <w:r>
              <w:rPr>
                <w:rFonts w:hint="default" w:ascii="新宋体" w:hAnsi="新宋体" w:eastAsia="新宋体" w:cs="新宋体"/>
                <w:spacing w:val="-4"/>
                <w:kern w:val="2"/>
                <w:sz w:val="21"/>
                <w:szCs w:val="21"/>
              </w:rPr>
              <w:t>4</w:t>
            </w:r>
            <w:r>
              <w:rPr>
                <w:rFonts w:hint="eastAsia" w:ascii="新宋体" w:hAnsi="新宋体" w:eastAsia="新宋体" w:cs="新宋体"/>
                <w:spacing w:val="-4"/>
                <w:kern w:val="2"/>
                <w:sz w:val="21"/>
                <w:szCs w:val="21"/>
              </w:rPr>
              <w:t>分；不合理0分。</w:t>
            </w:r>
          </w:p>
        </w:tc>
        <w:tc>
          <w:tcPr>
            <w:tcW w:w="736" w:type="dxa"/>
            <w:noWrap w:val="0"/>
            <w:vAlign w:val="center"/>
          </w:tcPr>
          <w:p>
            <w:pPr>
              <w:adjustRightInd/>
              <w:spacing w:line="276" w:lineRule="auto"/>
              <w:jc w:val="center"/>
              <w:textAlignment w:val="auto"/>
              <w:rPr>
                <w:rFonts w:hint="default" w:ascii="宋体" w:hAnsi="宋体" w:cs="宋体"/>
                <w:sz w:val="21"/>
                <w:szCs w:val="21"/>
              </w:rPr>
            </w:pPr>
            <w:r>
              <w:rPr>
                <w:rFonts w:hint="default" w:ascii="宋体" w:hAnsi="宋体" w:cs="宋体"/>
                <w:sz w:val="21"/>
                <w:szCs w:val="21"/>
              </w:rPr>
              <w:t>8</w:t>
            </w:r>
          </w:p>
        </w:tc>
        <w:tc>
          <w:tcPr>
            <w:tcW w:w="1132" w:type="dxa"/>
            <w:noWrap w:val="0"/>
            <w:vAlign w:val="center"/>
          </w:tcPr>
          <w:p>
            <w:pPr>
              <w:widowControl/>
              <w:adjustRightInd/>
              <w:spacing w:line="360" w:lineRule="auto"/>
              <w:jc w:val="center"/>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72" w:type="dxa"/>
            <w:vMerge w:val="continue"/>
            <w:noWrap w:val="0"/>
            <w:vAlign w:val="center"/>
          </w:tcPr>
          <w:p>
            <w:pPr>
              <w:widowControl/>
              <w:adjustRightInd/>
              <w:spacing w:line="360" w:lineRule="auto"/>
              <w:jc w:val="center"/>
              <w:textAlignment w:val="auto"/>
              <w:rPr>
                <w:rFonts w:hint="eastAsia" w:ascii="宋体" w:hAnsi="宋体" w:cs="宋体"/>
                <w:sz w:val="21"/>
                <w:szCs w:val="21"/>
              </w:rPr>
            </w:pPr>
          </w:p>
        </w:tc>
        <w:tc>
          <w:tcPr>
            <w:tcW w:w="1241" w:type="dxa"/>
            <w:vMerge w:val="continue"/>
            <w:noWrap w:val="0"/>
            <w:vAlign w:val="center"/>
          </w:tcPr>
          <w:p>
            <w:pPr>
              <w:widowControl/>
              <w:adjustRightInd/>
              <w:spacing w:line="276" w:lineRule="auto"/>
              <w:jc w:val="center"/>
              <w:textAlignment w:val="auto"/>
              <w:rPr>
                <w:rFonts w:hint="eastAsia" w:ascii="宋体" w:hAnsi="宋体" w:cs="新宋体"/>
                <w:spacing w:val="-4"/>
                <w:kern w:val="2"/>
                <w:sz w:val="21"/>
                <w:szCs w:val="21"/>
              </w:rPr>
            </w:pPr>
          </w:p>
        </w:tc>
        <w:tc>
          <w:tcPr>
            <w:tcW w:w="4950" w:type="dxa"/>
            <w:noWrap w:val="0"/>
            <w:vAlign w:val="center"/>
          </w:tcPr>
          <w:p>
            <w:pPr>
              <w:spacing w:line="240" w:lineRule="auto"/>
              <w:rPr>
                <w:rFonts w:hint="eastAsia" w:ascii="宋体" w:hAnsi="宋体"/>
                <w:sz w:val="21"/>
                <w:szCs w:val="21"/>
              </w:rPr>
            </w:pPr>
            <w:r>
              <w:rPr>
                <w:rFonts w:hint="eastAsia" w:ascii="宋体" w:hAnsi="宋体"/>
                <w:sz w:val="21"/>
                <w:szCs w:val="21"/>
              </w:rPr>
              <w:t>以项目实施地为中心，对各供应商的售后服务点、维修保养机构，售后便捷程度评价：便捷、完全能满足磋商文件要求得2分；便捷一般、基本能满足磋商文件要求得1分；未提供得0分。</w:t>
            </w:r>
            <w:r>
              <w:rPr>
                <w:rFonts w:hint="eastAsia" w:ascii="宋体" w:hAnsi="宋体"/>
                <w:b/>
                <w:sz w:val="21"/>
                <w:szCs w:val="21"/>
              </w:rPr>
              <w:t>（提供相关证明材料，未提供不得分）</w:t>
            </w:r>
          </w:p>
        </w:tc>
        <w:tc>
          <w:tcPr>
            <w:tcW w:w="736" w:type="dxa"/>
            <w:noWrap w:val="0"/>
            <w:vAlign w:val="center"/>
          </w:tcPr>
          <w:p>
            <w:pPr>
              <w:adjustRightInd/>
              <w:spacing w:line="240" w:lineRule="auto"/>
              <w:jc w:val="center"/>
              <w:textAlignment w:val="auto"/>
              <w:rPr>
                <w:rFonts w:ascii="宋体" w:hAnsi="宋体" w:cs="宋体"/>
                <w:sz w:val="21"/>
                <w:szCs w:val="21"/>
              </w:rPr>
            </w:pPr>
            <w:r>
              <w:rPr>
                <w:rFonts w:hint="eastAsia" w:ascii="宋体" w:hAnsi="宋体" w:cs="宋体"/>
                <w:sz w:val="21"/>
                <w:szCs w:val="21"/>
              </w:rPr>
              <w:t>2</w:t>
            </w:r>
          </w:p>
        </w:tc>
        <w:tc>
          <w:tcPr>
            <w:tcW w:w="1132" w:type="dxa"/>
            <w:noWrap w:val="0"/>
            <w:vAlign w:val="center"/>
          </w:tcPr>
          <w:p>
            <w:pPr>
              <w:widowControl/>
              <w:adjustRightInd/>
              <w:spacing w:line="360" w:lineRule="auto"/>
              <w:jc w:val="center"/>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7163" w:type="dxa"/>
            <w:gridSpan w:val="3"/>
            <w:noWrap w:val="0"/>
            <w:vAlign w:val="center"/>
          </w:tcPr>
          <w:p>
            <w:pPr>
              <w:widowControl/>
              <w:adjustRightInd/>
              <w:spacing w:line="240" w:lineRule="auto"/>
              <w:jc w:val="center"/>
              <w:textAlignment w:val="auto"/>
              <w:rPr>
                <w:rFonts w:ascii="宋体" w:hAnsi="宋体" w:cs="宋体"/>
                <w:sz w:val="21"/>
                <w:szCs w:val="21"/>
              </w:rPr>
            </w:pPr>
            <w:r>
              <w:rPr>
                <w:rFonts w:hint="eastAsia" w:ascii="宋体" w:hAnsi="宋体" w:cs="宋体"/>
                <w:sz w:val="21"/>
                <w:szCs w:val="21"/>
              </w:rPr>
              <w:t>合    计</w:t>
            </w:r>
          </w:p>
        </w:tc>
        <w:tc>
          <w:tcPr>
            <w:tcW w:w="736" w:type="dxa"/>
            <w:noWrap w:val="0"/>
            <w:vAlign w:val="center"/>
          </w:tcPr>
          <w:p>
            <w:pPr>
              <w:widowControl/>
              <w:adjustRightInd/>
              <w:spacing w:line="240" w:lineRule="auto"/>
              <w:jc w:val="center"/>
              <w:textAlignment w:val="auto"/>
              <w:rPr>
                <w:rFonts w:ascii="宋体" w:hAnsi="宋体" w:cs="宋体"/>
                <w:sz w:val="21"/>
                <w:szCs w:val="21"/>
              </w:rPr>
            </w:pPr>
            <w:r>
              <w:rPr>
                <w:rFonts w:hint="eastAsia" w:ascii="宋体" w:hAnsi="宋体" w:cs="宋体"/>
                <w:sz w:val="21"/>
                <w:szCs w:val="21"/>
              </w:rPr>
              <w:t>100</w:t>
            </w:r>
          </w:p>
        </w:tc>
        <w:tc>
          <w:tcPr>
            <w:tcW w:w="1132" w:type="dxa"/>
            <w:noWrap w:val="0"/>
            <w:vAlign w:val="center"/>
          </w:tcPr>
          <w:p>
            <w:pPr>
              <w:widowControl/>
              <w:adjustRightInd/>
              <w:spacing w:line="240" w:lineRule="auto"/>
              <w:jc w:val="center"/>
              <w:textAlignment w:val="auto"/>
              <w:rPr>
                <w:rFonts w:ascii="宋体" w:hAnsi="宋体" w:cs="宋体"/>
                <w:sz w:val="21"/>
                <w:szCs w:val="21"/>
              </w:rPr>
            </w:pPr>
            <w:r>
              <w:rPr>
                <w:rFonts w:hint="eastAsia" w:ascii="宋体" w:hAnsi="宋体" w:cs="宋体"/>
                <w:sz w:val="21"/>
                <w:szCs w:val="21"/>
              </w:rPr>
              <w:t>　</w:t>
            </w:r>
          </w:p>
        </w:tc>
      </w:tr>
    </w:tbl>
    <w:p/>
    <w:p>
      <w:pPr>
        <w:spacing w:before="240" w:beforeLines="100" w:line="360" w:lineRule="auto"/>
      </w:pPr>
      <w:r>
        <w:rPr>
          <w:rFonts w:hint="eastAsia" w:ascii="宋体" w:hAnsi="宋体"/>
          <w:b/>
          <w:sz w:val="21"/>
          <w:szCs w:val="21"/>
        </w:rPr>
        <w:t>注：供应商须将评分细则表填入相应的页码后放入响应文件，以便评委查阅。</w:t>
      </w:r>
      <w:r>
        <w:br w:type="page"/>
      </w:r>
      <w:r>
        <w:rPr>
          <w:rFonts w:hint="eastAsia"/>
        </w:rPr>
        <w:t>第一部分、商务部分</w:t>
      </w:r>
    </w:p>
    <w:p>
      <w:pPr>
        <w:pStyle w:val="4"/>
      </w:pPr>
      <w:r>
        <w:rPr>
          <w:rFonts w:hint="eastAsia"/>
        </w:rPr>
        <w:t>一、响应函</w:t>
      </w:r>
      <w:bookmarkEnd w:id="60"/>
    </w:p>
    <w:p>
      <w:pPr>
        <w:spacing w:line="360" w:lineRule="auto"/>
        <w:ind w:firstLine="420" w:firstLineChars="200"/>
        <w:rPr>
          <w:rFonts w:hint="eastAsia" w:ascii="宋体" w:hAnsi="宋体" w:eastAsia="宋体"/>
          <w:color w:val="FF0000"/>
          <w:sz w:val="21"/>
          <w:szCs w:val="21"/>
          <w:lang w:eastAsia="zh-CN"/>
        </w:rPr>
      </w:pPr>
      <w:r>
        <w:rPr>
          <w:rFonts w:hint="eastAsia" w:ascii="宋体" w:hAnsi="宋体"/>
          <w:sz w:val="21"/>
          <w:szCs w:val="21"/>
        </w:rPr>
        <w:t>致：</w:t>
      </w:r>
      <w:r>
        <w:rPr>
          <w:rFonts w:hint="eastAsia" w:ascii="宋体" w:hAnsi="宋体"/>
          <w:color w:val="FF0000"/>
          <w:sz w:val="21"/>
          <w:szCs w:val="21"/>
          <w:lang w:val="en-US" w:eastAsia="zh-CN"/>
        </w:rPr>
        <w:t>湖北唐崖河风景名胜区旅游发展有限公司</w:t>
      </w:r>
    </w:p>
    <w:p>
      <w:pPr>
        <w:spacing w:line="360" w:lineRule="auto"/>
        <w:ind w:firstLine="420" w:firstLineChars="200"/>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(供应商名称)授权</w:t>
      </w:r>
      <w:r>
        <w:rPr>
          <w:rFonts w:hint="eastAsia" w:ascii="宋体" w:hAnsi="宋体"/>
          <w:sz w:val="21"/>
          <w:szCs w:val="21"/>
          <w:u w:val="single"/>
        </w:rPr>
        <w:t xml:space="preserve">          </w:t>
      </w:r>
      <w:r>
        <w:rPr>
          <w:rFonts w:hint="eastAsia" w:ascii="宋体" w:hAnsi="宋体"/>
          <w:sz w:val="21"/>
          <w:szCs w:val="21"/>
        </w:rPr>
        <w:t>(供应商代表)</w:t>
      </w:r>
      <w:r>
        <w:rPr>
          <w:rFonts w:hint="eastAsia" w:ascii="宋体" w:hAnsi="宋体"/>
          <w:sz w:val="21"/>
          <w:szCs w:val="21"/>
          <w:u w:val="single"/>
        </w:rPr>
        <w:t xml:space="preserve">            </w:t>
      </w:r>
      <w:r>
        <w:rPr>
          <w:rFonts w:hint="eastAsia" w:ascii="宋体" w:hAnsi="宋体"/>
          <w:sz w:val="21"/>
          <w:szCs w:val="21"/>
        </w:rPr>
        <w:t>(职务、职称)为我方代表，参加贵方组织的</w:t>
      </w:r>
      <w:r>
        <w:rPr>
          <w:rFonts w:hint="eastAsia" w:ascii="宋体" w:hAnsi="宋体"/>
          <w:sz w:val="21"/>
          <w:szCs w:val="21"/>
          <w:u w:val="single"/>
        </w:rPr>
        <w:t xml:space="preserve">                    </w:t>
      </w:r>
      <w:r>
        <w:rPr>
          <w:rFonts w:hint="eastAsia" w:ascii="宋体" w:hAnsi="宋体"/>
          <w:sz w:val="21"/>
          <w:szCs w:val="21"/>
        </w:rPr>
        <w:t>(项目名称、项目编号)磋商的有关活动，并对此项目进行响应。为此：</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我方承诺：具备《中华人民共和国政府采购法》中规定的参加政府采购活动的供应商应当具备的条件：</w:t>
      </w:r>
    </w:p>
    <w:p>
      <w:pPr>
        <w:numPr>
          <w:ilvl w:val="0"/>
          <w:numId w:val="24"/>
        </w:numPr>
        <w:spacing w:line="360" w:lineRule="auto"/>
        <w:ind w:left="0" w:firstLine="420" w:firstLineChars="200"/>
        <w:rPr>
          <w:rFonts w:ascii="宋体" w:hAnsi="宋体"/>
          <w:sz w:val="21"/>
          <w:szCs w:val="21"/>
        </w:rPr>
      </w:pPr>
      <w:r>
        <w:rPr>
          <w:rFonts w:hint="eastAsia" w:ascii="宋体" w:hAnsi="宋体"/>
          <w:sz w:val="21"/>
          <w:szCs w:val="21"/>
        </w:rPr>
        <w:t>具有独立承担民事责任的能力；</w:t>
      </w:r>
    </w:p>
    <w:p>
      <w:pPr>
        <w:numPr>
          <w:ilvl w:val="0"/>
          <w:numId w:val="24"/>
        </w:numPr>
        <w:spacing w:line="360" w:lineRule="auto"/>
        <w:ind w:left="0" w:firstLine="420" w:firstLineChars="200"/>
        <w:rPr>
          <w:rFonts w:ascii="宋体" w:hAnsi="宋体"/>
          <w:sz w:val="21"/>
          <w:szCs w:val="21"/>
        </w:rPr>
      </w:pPr>
      <w:r>
        <w:rPr>
          <w:rFonts w:hint="eastAsia" w:ascii="宋体" w:hAnsi="宋体"/>
          <w:sz w:val="21"/>
          <w:szCs w:val="21"/>
        </w:rPr>
        <w:t>具有良好的商业信誉和健全的财务会计制度；</w:t>
      </w:r>
    </w:p>
    <w:p>
      <w:pPr>
        <w:numPr>
          <w:ilvl w:val="0"/>
          <w:numId w:val="24"/>
        </w:numPr>
        <w:spacing w:line="360" w:lineRule="auto"/>
        <w:ind w:left="0" w:firstLine="420" w:firstLineChars="200"/>
        <w:rPr>
          <w:rFonts w:ascii="宋体" w:hAnsi="宋体"/>
          <w:sz w:val="21"/>
          <w:szCs w:val="21"/>
        </w:rPr>
      </w:pPr>
      <w:r>
        <w:rPr>
          <w:rFonts w:hint="eastAsia" w:ascii="宋体" w:hAnsi="宋体"/>
          <w:sz w:val="21"/>
          <w:szCs w:val="21"/>
        </w:rPr>
        <w:t>具有履行合同所必需的设备和专业技术能力；</w:t>
      </w:r>
    </w:p>
    <w:p>
      <w:pPr>
        <w:numPr>
          <w:ilvl w:val="0"/>
          <w:numId w:val="24"/>
        </w:numPr>
        <w:spacing w:line="360" w:lineRule="auto"/>
        <w:ind w:left="0" w:firstLine="420" w:firstLineChars="200"/>
        <w:rPr>
          <w:rFonts w:ascii="宋体" w:hAnsi="宋体"/>
          <w:sz w:val="21"/>
          <w:szCs w:val="21"/>
        </w:rPr>
      </w:pPr>
      <w:r>
        <w:rPr>
          <w:rFonts w:hint="eastAsia" w:ascii="宋体" w:hAnsi="宋体"/>
          <w:sz w:val="21"/>
          <w:szCs w:val="21"/>
        </w:rPr>
        <w:t>有依法缴纳税收和社会保障资金的良好记录；</w:t>
      </w:r>
    </w:p>
    <w:p>
      <w:pPr>
        <w:numPr>
          <w:ilvl w:val="0"/>
          <w:numId w:val="24"/>
        </w:numPr>
        <w:spacing w:line="360" w:lineRule="auto"/>
        <w:ind w:left="0" w:firstLine="420" w:firstLineChars="200"/>
        <w:rPr>
          <w:rFonts w:ascii="宋体" w:hAnsi="宋体"/>
          <w:sz w:val="21"/>
          <w:szCs w:val="21"/>
        </w:rPr>
      </w:pPr>
      <w:r>
        <w:rPr>
          <w:rFonts w:hint="eastAsia" w:ascii="宋体" w:hAnsi="宋体"/>
          <w:sz w:val="21"/>
          <w:szCs w:val="21"/>
        </w:rPr>
        <w:t>参加此项磋商活动前三年内，在经营活动中没有重大违法记录。</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我方同意：在本项目磋商文件中规定的响应有效期内遵守本响应文件中的承诺且在此期限期满之前均具有约束力。</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我方同意：响应文件有效期为</w:t>
      </w:r>
      <w:r>
        <w:rPr>
          <w:rFonts w:hint="eastAsia" w:ascii="宋体" w:hAnsi="宋体"/>
          <w:sz w:val="21"/>
          <w:szCs w:val="21"/>
          <w:u w:val="single"/>
        </w:rPr>
        <w:t xml:space="preserve">     </w:t>
      </w:r>
      <w:r>
        <w:rPr>
          <w:rFonts w:hint="eastAsia" w:ascii="宋体" w:hAnsi="宋体"/>
          <w:sz w:val="21"/>
          <w:szCs w:val="21"/>
        </w:rPr>
        <w:t>日历天（从响应截止日起计算）。</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我方承诺：完全理解响应报价若超过项目预算金额时，响应将被拒绝。</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我方承诺：完全满足和响应磋商文件中的各项商务和技术的实质性要求。</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我方愿意向贵方提供任何与本项响应有关的数据、情况和技术资料。若贵方需要，我方愿意提供我方作出的一切承诺的证明材料。</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我方已详细审核全部磋商文件，包括磋商文件修改书（如有的话）、参考资料及有关附件，确认无误。</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我方承诺：与为在本项目中设计编制技术规格的机构及其附属机构无任何直接隶属关系和利益关联。</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采购人或采购代理机构有对供应商响应文件所有文件、资料核实原件的权利，如发现供应商响应文件中存在虚假内容，采购人或采购代理机构将取消供应商此前评议结果，其现有位置将被其他供应商依序替代。</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我方承诺：接受磋商文件的全部条款且无任何异议，保证遵守磋商文件的规定。</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我方承诺：若成交，我方将遵守贵方有关采购代理服务费的规定。</w:t>
      </w:r>
    </w:p>
    <w:p>
      <w:pPr>
        <w:numPr>
          <w:ilvl w:val="0"/>
          <w:numId w:val="23"/>
        </w:numPr>
        <w:spacing w:line="360" w:lineRule="auto"/>
        <w:ind w:left="0" w:firstLine="420" w:firstLineChars="200"/>
        <w:rPr>
          <w:rFonts w:ascii="宋体" w:hAnsi="宋体"/>
          <w:sz w:val="21"/>
          <w:szCs w:val="21"/>
        </w:rPr>
      </w:pPr>
      <w:r>
        <w:rPr>
          <w:rFonts w:hint="eastAsia" w:ascii="宋体" w:hAnsi="宋体"/>
          <w:sz w:val="21"/>
          <w:szCs w:val="21"/>
        </w:rPr>
        <w:t>我方将严格遵守《中华人民共和国政府采购法》的有关规定，若有下列情形之一的，将被处以磋商金额5‰以上10‰以下的罚款，列入不良行为记录名单，在一至三年内禁止参加政府采购活动；有违法所得的，并处没收违法所得；情节严重的，由市场监督管理局（原工商行政管理局）吊销营业执照；构成犯罪的，依法追究刑事责任：</w:t>
      </w:r>
    </w:p>
    <w:p>
      <w:pPr>
        <w:numPr>
          <w:ilvl w:val="0"/>
          <w:numId w:val="25"/>
        </w:numPr>
        <w:spacing w:line="360" w:lineRule="auto"/>
        <w:ind w:left="0" w:firstLine="420" w:firstLineChars="200"/>
        <w:rPr>
          <w:rFonts w:ascii="宋体" w:hAnsi="宋体"/>
          <w:sz w:val="21"/>
          <w:szCs w:val="21"/>
        </w:rPr>
      </w:pPr>
      <w:r>
        <w:rPr>
          <w:rFonts w:hint="eastAsia" w:ascii="宋体" w:hAnsi="宋体"/>
          <w:sz w:val="21"/>
          <w:szCs w:val="21"/>
        </w:rPr>
        <w:t>提供虚假材料谋取成交；</w:t>
      </w:r>
    </w:p>
    <w:p>
      <w:pPr>
        <w:numPr>
          <w:ilvl w:val="0"/>
          <w:numId w:val="25"/>
        </w:numPr>
        <w:spacing w:line="360" w:lineRule="auto"/>
        <w:ind w:left="0" w:firstLine="420" w:firstLineChars="200"/>
        <w:rPr>
          <w:rFonts w:ascii="宋体" w:hAnsi="宋体"/>
          <w:sz w:val="21"/>
          <w:szCs w:val="21"/>
        </w:rPr>
      </w:pPr>
      <w:r>
        <w:rPr>
          <w:rFonts w:hint="eastAsia" w:ascii="宋体" w:hAnsi="宋体"/>
          <w:sz w:val="21"/>
          <w:szCs w:val="21"/>
        </w:rPr>
        <w:t>采取不正当手段诋毁、排挤其他供应商的；</w:t>
      </w:r>
    </w:p>
    <w:p>
      <w:pPr>
        <w:numPr>
          <w:ilvl w:val="0"/>
          <w:numId w:val="25"/>
        </w:numPr>
        <w:spacing w:line="360" w:lineRule="auto"/>
        <w:ind w:left="0" w:firstLine="420" w:firstLineChars="200"/>
        <w:rPr>
          <w:rFonts w:ascii="宋体" w:hAnsi="宋体"/>
          <w:sz w:val="21"/>
          <w:szCs w:val="21"/>
        </w:rPr>
      </w:pPr>
      <w:r>
        <w:rPr>
          <w:rFonts w:hint="eastAsia" w:ascii="宋体" w:hAnsi="宋体"/>
          <w:sz w:val="21"/>
          <w:szCs w:val="21"/>
        </w:rPr>
        <w:t>与采购人、其它供应商或者采购人工作人员恶意串通的；</w:t>
      </w:r>
    </w:p>
    <w:p>
      <w:pPr>
        <w:numPr>
          <w:ilvl w:val="0"/>
          <w:numId w:val="25"/>
        </w:numPr>
        <w:spacing w:line="360" w:lineRule="auto"/>
        <w:ind w:left="0" w:firstLine="420" w:firstLineChars="200"/>
        <w:rPr>
          <w:rFonts w:ascii="宋体" w:hAnsi="宋体"/>
          <w:sz w:val="21"/>
          <w:szCs w:val="21"/>
        </w:rPr>
      </w:pPr>
      <w:r>
        <w:rPr>
          <w:rFonts w:hint="eastAsia" w:ascii="宋体" w:hAnsi="宋体"/>
          <w:sz w:val="21"/>
          <w:szCs w:val="21"/>
        </w:rPr>
        <w:t>向采购人、采购人工作人员行贿或者提供其他不正当利益的；</w:t>
      </w:r>
    </w:p>
    <w:p>
      <w:pPr>
        <w:numPr>
          <w:ilvl w:val="0"/>
          <w:numId w:val="25"/>
        </w:numPr>
        <w:spacing w:line="360" w:lineRule="auto"/>
        <w:ind w:left="0" w:firstLine="420" w:firstLineChars="200"/>
        <w:rPr>
          <w:rFonts w:ascii="宋体" w:hAnsi="宋体"/>
          <w:sz w:val="21"/>
          <w:szCs w:val="21"/>
        </w:rPr>
      </w:pPr>
      <w:r>
        <w:rPr>
          <w:rFonts w:hint="eastAsia" w:ascii="宋体" w:hAnsi="宋体"/>
          <w:sz w:val="21"/>
          <w:szCs w:val="21"/>
        </w:rPr>
        <w:t>未经采购人同意，在磋商过程中与采购人进行协商谈判的；</w:t>
      </w:r>
    </w:p>
    <w:p>
      <w:pPr>
        <w:numPr>
          <w:ilvl w:val="0"/>
          <w:numId w:val="25"/>
        </w:numPr>
        <w:spacing w:line="360" w:lineRule="auto"/>
        <w:ind w:left="0" w:firstLine="420" w:firstLineChars="200"/>
        <w:rPr>
          <w:rFonts w:ascii="宋体" w:hAnsi="宋体"/>
          <w:sz w:val="21"/>
          <w:szCs w:val="21"/>
        </w:rPr>
      </w:pPr>
      <w:r>
        <w:rPr>
          <w:rFonts w:hint="eastAsia" w:ascii="宋体" w:hAnsi="宋体"/>
          <w:sz w:val="21"/>
          <w:szCs w:val="21"/>
        </w:rPr>
        <w:t>拒绝有关部门监督检查或提供虚假情况的。</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与本响应有关的一切往来通讯请寄：</w:t>
      </w:r>
    </w:p>
    <w:p>
      <w:pPr>
        <w:spacing w:line="360" w:lineRule="auto"/>
        <w:ind w:firstLine="420" w:firstLineChars="200"/>
        <w:rPr>
          <w:rFonts w:ascii="宋体" w:hAnsi="宋体"/>
          <w:sz w:val="21"/>
          <w:szCs w:val="21"/>
        </w:rPr>
      </w:pPr>
      <w:r>
        <w:rPr>
          <w:rFonts w:hint="eastAsia" w:ascii="宋体" w:hAnsi="宋体"/>
          <w:sz w:val="21"/>
          <w:szCs w:val="21"/>
        </w:rPr>
        <w:tab/>
      </w:r>
      <w:r>
        <w:rPr>
          <w:rFonts w:hint="eastAsia" w:ascii="宋体" w:hAnsi="宋体"/>
          <w:sz w:val="21"/>
          <w:szCs w:val="21"/>
        </w:rPr>
        <w:t>地址：____________________________________________________</w:t>
      </w:r>
    </w:p>
    <w:p>
      <w:pPr>
        <w:spacing w:line="360" w:lineRule="auto"/>
        <w:ind w:firstLine="420" w:firstLineChars="200"/>
        <w:rPr>
          <w:rFonts w:ascii="宋体" w:hAnsi="宋体"/>
          <w:sz w:val="21"/>
          <w:szCs w:val="21"/>
        </w:rPr>
      </w:pPr>
      <w:r>
        <w:rPr>
          <w:rFonts w:hint="eastAsia" w:ascii="宋体" w:hAnsi="宋体"/>
          <w:sz w:val="21"/>
          <w:szCs w:val="21"/>
        </w:rPr>
        <w:tab/>
      </w:r>
      <w:r>
        <w:rPr>
          <w:rFonts w:hint="eastAsia" w:ascii="宋体" w:hAnsi="宋体"/>
          <w:sz w:val="21"/>
          <w:szCs w:val="21"/>
        </w:rPr>
        <w:t>邮编：____________</w:t>
      </w:r>
    </w:p>
    <w:p>
      <w:pPr>
        <w:spacing w:line="360" w:lineRule="auto"/>
        <w:ind w:firstLine="420" w:firstLineChars="200"/>
        <w:rPr>
          <w:rFonts w:ascii="宋体" w:hAnsi="宋体"/>
          <w:sz w:val="21"/>
          <w:szCs w:val="21"/>
        </w:rPr>
      </w:pPr>
      <w:r>
        <w:rPr>
          <w:rFonts w:hint="eastAsia" w:ascii="宋体" w:hAnsi="宋体"/>
          <w:sz w:val="21"/>
          <w:szCs w:val="21"/>
        </w:rPr>
        <w:tab/>
      </w:r>
      <w:r>
        <w:rPr>
          <w:rFonts w:hint="eastAsia" w:ascii="宋体" w:hAnsi="宋体"/>
          <w:sz w:val="21"/>
          <w:szCs w:val="21"/>
        </w:rPr>
        <w:t>电话：____________</w:t>
      </w:r>
    </w:p>
    <w:p>
      <w:pPr>
        <w:spacing w:line="360" w:lineRule="auto"/>
        <w:ind w:firstLine="420" w:firstLineChars="200"/>
        <w:rPr>
          <w:rFonts w:ascii="宋体" w:hAnsi="宋体"/>
          <w:sz w:val="21"/>
          <w:szCs w:val="21"/>
        </w:rPr>
      </w:pPr>
      <w:r>
        <w:rPr>
          <w:rFonts w:hint="eastAsia" w:ascii="宋体" w:hAnsi="宋体"/>
          <w:sz w:val="21"/>
          <w:szCs w:val="21"/>
        </w:rPr>
        <w:tab/>
      </w:r>
      <w:r>
        <w:rPr>
          <w:rFonts w:hint="eastAsia" w:ascii="宋体" w:hAnsi="宋体"/>
          <w:sz w:val="21"/>
          <w:szCs w:val="21"/>
        </w:rPr>
        <w:t>传真：____________</w:t>
      </w:r>
    </w:p>
    <w:p>
      <w:pPr>
        <w:tabs>
          <w:tab w:val="left" w:pos="480"/>
        </w:tabs>
        <w:spacing w:line="360" w:lineRule="auto"/>
        <w:rPr>
          <w:rFonts w:ascii="宋体" w:hAnsi="宋体"/>
          <w:sz w:val="21"/>
          <w:szCs w:val="21"/>
        </w:rPr>
      </w:pPr>
    </w:p>
    <w:p>
      <w:pPr>
        <w:tabs>
          <w:tab w:val="left" w:pos="480"/>
        </w:tabs>
        <w:spacing w:line="360" w:lineRule="auto"/>
        <w:rPr>
          <w:rFonts w:ascii="宋体" w:hAnsi="宋体"/>
          <w:sz w:val="21"/>
          <w:szCs w:val="21"/>
        </w:rPr>
      </w:pPr>
    </w:p>
    <w:p>
      <w:pPr>
        <w:tabs>
          <w:tab w:val="left" w:pos="480"/>
        </w:tabs>
        <w:spacing w:line="360" w:lineRule="auto"/>
        <w:rPr>
          <w:rFonts w:ascii="宋体" w:hAnsi="宋体"/>
          <w:sz w:val="21"/>
          <w:szCs w:val="21"/>
        </w:rPr>
      </w:pPr>
    </w:p>
    <w:p>
      <w:pPr>
        <w:tabs>
          <w:tab w:val="left" w:pos="1200"/>
        </w:tabs>
        <w:spacing w:line="360" w:lineRule="auto"/>
        <w:ind w:firstLine="420" w:firstLineChars="200"/>
        <w:rPr>
          <w:rFonts w:ascii="宋体" w:hAnsi="宋体"/>
          <w:sz w:val="21"/>
          <w:szCs w:val="21"/>
        </w:rPr>
      </w:pPr>
      <w:r>
        <w:rPr>
          <w:rFonts w:hint="eastAsia" w:ascii="宋体" w:hAnsi="宋体"/>
          <w:sz w:val="21"/>
          <w:szCs w:val="21"/>
        </w:rPr>
        <w:t>供应商：____________________(公章)</w:t>
      </w:r>
    </w:p>
    <w:p>
      <w:pPr>
        <w:tabs>
          <w:tab w:val="left" w:pos="1200"/>
        </w:tabs>
        <w:spacing w:line="360" w:lineRule="auto"/>
        <w:ind w:firstLine="420" w:firstLineChars="200"/>
        <w:rPr>
          <w:rFonts w:ascii="宋体" w:hAnsi="宋体"/>
          <w:sz w:val="21"/>
          <w:szCs w:val="21"/>
        </w:rPr>
      </w:pPr>
      <w:r>
        <w:rPr>
          <w:rFonts w:hint="eastAsia" w:ascii="宋体" w:hAnsi="宋体"/>
          <w:sz w:val="21"/>
          <w:szCs w:val="21"/>
        </w:rPr>
        <w:t>法定代表人：____________________（签字或签章）</w:t>
      </w:r>
    </w:p>
    <w:p>
      <w:pPr>
        <w:tabs>
          <w:tab w:val="left" w:pos="1200"/>
        </w:tabs>
        <w:spacing w:line="360" w:lineRule="auto"/>
        <w:ind w:firstLine="420" w:firstLineChars="200"/>
        <w:rPr>
          <w:rFonts w:ascii="宋体" w:hAnsi="宋体"/>
          <w:sz w:val="21"/>
          <w:szCs w:val="21"/>
        </w:rPr>
      </w:pPr>
      <w:r>
        <w:rPr>
          <w:rFonts w:ascii="宋体" w:hAnsi="宋体"/>
          <w:sz w:val="21"/>
          <w:szCs w:val="21"/>
        </w:rPr>
        <w:t>供应商代表</w:t>
      </w:r>
      <w:r>
        <w:rPr>
          <w:rFonts w:hint="eastAsia" w:ascii="宋体" w:hAnsi="宋体"/>
          <w:sz w:val="21"/>
          <w:szCs w:val="21"/>
        </w:rPr>
        <w:t>：____________________（</w:t>
      </w:r>
      <w:r>
        <w:rPr>
          <w:rFonts w:ascii="宋体" w:hAnsi="宋体"/>
          <w:sz w:val="21"/>
          <w:szCs w:val="21"/>
        </w:rPr>
        <w:t>签字</w:t>
      </w:r>
      <w:r>
        <w:rPr>
          <w:rFonts w:hint="eastAsia" w:ascii="宋体" w:hAnsi="宋体"/>
          <w:sz w:val="21"/>
          <w:szCs w:val="21"/>
        </w:rPr>
        <w:t>）</w:t>
      </w:r>
    </w:p>
    <w:p>
      <w:pPr>
        <w:tabs>
          <w:tab w:val="left" w:pos="1200"/>
        </w:tabs>
        <w:spacing w:line="360" w:lineRule="auto"/>
        <w:ind w:firstLine="420" w:firstLineChars="200"/>
        <w:rPr>
          <w:rFonts w:ascii="宋体" w:hAnsi="宋体"/>
          <w:sz w:val="21"/>
          <w:szCs w:val="21"/>
        </w:rPr>
      </w:pPr>
      <w:r>
        <w:rPr>
          <w:rFonts w:hint="eastAsia" w:ascii="宋体" w:hAnsi="宋体"/>
          <w:sz w:val="21"/>
          <w:szCs w:val="21"/>
        </w:rPr>
        <w:t>日期：____________________</w:t>
      </w:r>
    </w:p>
    <w:p>
      <w:pPr>
        <w:tabs>
          <w:tab w:val="left" w:pos="1200"/>
        </w:tabs>
        <w:spacing w:line="360" w:lineRule="auto"/>
        <w:ind w:firstLine="420" w:firstLineChars="200"/>
        <w:rPr>
          <w:rFonts w:ascii="宋体" w:hAnsi="宋体"/>
          <w:sz w:val="21"/>
          <w:szCs w:val="21"/>
        </w:rPr>
      </w:pPr>
    </w:p>
    <w:p>
      <w:pPr>
        <w:spacing w:line="360" w:lineRule="auto"/>
        <w:rPr>
          <w:rFonts w:ascii="宋体" w:hAnsi="宋体"/>
          <w:b/>
          <w:sz w:val="21"/>
          <w:szCs w:val="21"/>
        </w:rPr>
      </w:pPr>
      <w:r>
        <w:rPr>
          <w:rFonts w:hint="eastAsia" w:ascii="宋体" w:hAnsi="宋体"/>
          <w:b/>
          <w:sz w:val="21"/>
          <w:szCs w:val="21"/>
        </w:rPr>
        <w:t>备注：除可填报本项目相关内容外，不得对本响应函的内容进行实质性修改，否则将被视为非实质性响应，从而导致该响应被拒绝。</w:t>
      </w:r>
    </w:p>
    <w:p>
      <w:pPr>
        <w:spacing w:line="240" w:lineRule="auto"/>
        <w:ind w:left="422" w:hanging="422" w:hangingChars="200"/>
        <w:rPr>
          <w:rFonts w:ascii="宋体" w:hAnsi="宋体"/>
          <w:b/>
          <w:sz w:val="21"/>
          <w:szCs w:val="21"/>
        </w:rPr>
        <w:sectPr>
          <w:pgSz w:w="11909" w:h="16834"/>
          <w:pgMar w:top="1440" w:right="1418" w:bottom="1440" w:left="1418" w:header="851" w:footer="851" w:gutter="0"/>
          <w:pgNumType w:fmt="decimal"/>
          <w:cols w:space="720" w:num="1"/>
          <w:titlePg/>
        </w:sectPr>
      </w:pPr>
    </w:p>
    <w:p>
      <w:pPr>
        <w:pStyle w:val="4"/>
      </w:pPr>
      <w:bookmarkStart w:id="61" w:name="_Toc86202635"/>
      <w:r>
        <w:rPr>
          <w:rFonts w:hint="eastAsia"/>
        </w:rPr>
        <w:t>二、</w:t>
      </w:r>
      <w:bookmarkEnd w:id="61"/>
      <w:r>
        <w:rPr>
          <w:rFonts w:hint="eastAsia"/>
        </w:rPr>
        <w:t>法人身份证明或法定代表人授权委托书（格式）</w:t>
      </w:r>
    </w:p>
    <w:p>
      <w:pPr>
        <w:pStyle w:val="4"/>
      </w:pPr>
      <w:r>
        <w:rPr>
          <w:rFonts w:hint="eastAsia"/>
        </w:rPr>
        <w:t>（一）法人身份证明</w:t>
      </w:r>
    </w:p>
    <w:p>
      <w:pPr>
        <w:spacing w:line="460" w:lineRule="exact"/>
        <w:ind w:firstLine="420" w:firstLineChars="200"/>
        <w:rPr>
          <w:sz w:val="21"/>
          <w:szCs w:val="21"/>
        </w:rPr>
      </w:pPr>
      <w:r>
        <w:rPr>
          <w:sz w:val="21"/>
          <w:szCs w:val="21"/>
        </w:rPr>
        <w:t>供应商名称：</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p>
    <w:p>
      <w:pPr>
        <w:spacing w:line="460" w:lineRule="exact"/>
        <w:ind w:firstLine="420" w:firstLineChars="200"/>
        <w:rPr>
          <w:sz w:val="21"/>
          <w:szCs w:val="21"/>
        </w:rPr>
      </w:pPr>
      <w:r>
        <w:rPr>
          <w:rFonts w:hint="eastAsia"/>
          <w:sz w:val="21"/>
          <w:szCs w:val="21"/>
        </w:rPr>
        <w:t>类型</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p>
    <w:p>
      <w:pPr>
        <w:spacing w:line="460" w:lineRule="exact"/>
        <w:ind w:firstLine="420" w:firstLineChars="200"/>
        <w:rPr>
          <w:sz w:val="21"/>
          <w:szCs w:val="21"/>
        </w:rPr>
      </w:pPr>
      <w:r>
        <w:rPr>
          <w:sz w:val="21"/>
          <w:szCs w:val="21"/>
        </w:rPr>
        <w:t>地址：</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p>
    <w:p>
      <w:pPr>
        <w:spacing w:line="460" w:lineRule="exact"/>
        <w:ind w:firstLine="420" w:firstLineChars="200"/>
        <w:rPr>
          <w:sz w:val="21"/>
          <w:szCs w:val="21"/>
        </w:rPr>
      </w:pPr>
      <w:r>
        <w:rPr>
          <w:sz w:val="21"/>
          <w:szCs w:val="21"/>
        </w:rPr>
        <w:t>成立时间：</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spacing w:line="460" w:lineRule="exact"/>
        <w:ind w:firstLine="420" w:firstLineChars="200"/>
        <w:rPr>
          <w:sz w:val="21"/>
          <w:szCs w:val="21"/>
        </w:rPr>
      </w:pPr>
      <w:r>
        <w:rPr>
          <w:sz w:val="21"/>
          <w:szCs w:val="21"/>
        </w:rPr>
        <w:t>姓名：</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性别：</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年龄：</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职务：</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60" w:lineRule="exact"/>
        <w:ind w:firstLine="420" w:firstLineChars="200"/>
        <w:rPr>
          <w:sz w:val="21"/>
          <w:szCs w:val="21"/>
        </w:rPr>
      </w:pPr>
      <w:r>
        <w:rPr>
          <w:sz w:val="21"/>
          <w:szCs w:val="21"/>
        </w:rPr>
        <w:t>系</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（供应商名称）的法定代表人。</w:t>
      </w:r>
    </w:p>
    <w:p>
      <w:pPr>
        <w:spacing w:line="460" w:lineRule="exact"/>
        <w:ind w:firstLine="420" w:firstLineChars="200"/>
        <w:rPr>
          <w:sz w:val="21"/>
          <w:szCs w:val="21"/>
        </w:rPr>
      </w:pPr>
    </w:p>
    <w:p>
      <w:pPr>
        <w:spacing w:line="460" w:lineRule="exact"/>
        <w:ind w:firstLine="420" w:firstLineChars="200"/>
        <w:rPr>
          <w:sz w:val="21"/>
          <w:szCs w:val="21"/>
        </w:rPr>
      </w:pPr>
      <w:r>
        <w:rPr>
          <w:sz w:val="21"/>
          <w:szCs w:val="21"/>
        </w:rPr>
        <w:t>特此证明。</w:t>
      </w:r>
    </w:p>
    <w:p>
      <w:pPr>
        <w:spacing w:line="460" w:lineRule="exact"/>
        <w:ind w:firstLine="422" w:firstLineChars="200"/>
        <w:rPr>
          <w:b/>
          <w:sz w:val="21"/>
          <w:szCs w:val="21"/>
        </w:rPr>
      </w:pPr>
      <w:r>
        <w:rPr>
          <w:b/>
          <w:sz w:val="21"/>
          <w:szCs w:val="21"/>
        </w:rPr>
        <w:t>附：法定代表人身份证</w:t>
      </w:r>
      <w:r>
        <w:rPr>
          <w:rFonts w:hint="eastAsia"/>
          <w:b/>
          <w:sz w:val="21"/>
          <w:szCs w:val="21"/>
        </w:rPr>
        <w:t>（正反面）</w:t>
      </w:r>
      <w:r>
        <w:rPr>
          <w:b/>
          <w:sz w:val="21"/>
          <w:szCs w:val="21"/>
        </w:rPr>
        <w:t>复印件</w:t>
      </w:r>
    </w:p>
    <w:p>
      <w:pPr>
        <w:pStyle w:val="99"/>
        <w:spacing w:line="460" w:lineRule="exact"/>
        <w:ind w:firstLine="420"/>
        <w:rPr>
          <w:sz w:val="21"/>
          <w:szCs w:val="21"/>
        </w:rPr>
      </w:pPr>
    </w:p>
    <w:p>
      <w:pPr>
        <w:spacing w:line="460" w:lineRule="exact"/>
        <w:rPr>
          <w:sz w:val="21"/>
          <w:szCs w:val="21"/>
        </w:rPr>
      </w:pPr>
      <w:r>
        <w:rPr>
          <w:rFonts w:hint="eastAsia"/>
          <w:sz w:val="21"/>
          <w:szCs w:val="21"/>
        </w:rPr>
        <w:t xml:space="preserve">    </w:t>
      </w:r>
    </w:p>
    <w:p>
      <w:pPr>
        <w:pStyle w:val="99"/>
        <w:spacing w:line="460" w:lineRule="exact"/>
        <w:ind w:firstLine="420"/>
        <w:rPr>
          <w:sz w:val="21"/>
          <w:szCs w:val="21"/>
        </w:rPr>
      </w:pPr>
    </w:p>
    <w:p>
      <w:pPr>
        <w:spacing w:line="460" w:lineRule="exact"/>
        <w:jc w:val="right"/>
        <w:rPr>
          <w:sz w:val="21"/>
          <w:szCs w:val="21"/>
        </w:rPr>
      </w:pPr>
      <w:r>
        <w:rPr>
          <w:rFonts w:hint="eastAsia"/>
          <w:sz w:val="21"/>
          <w:szCs w:val="21"/>
        </w:rPr>
        <w:t>供</w:t>
      </w:r>
      <w:r>
        <w:rPr>
          <w:sz w:val="21"/>
          <w:szCs w:val="21"/>
        </w:rPr>
        <w:t xml:space="preserve"> </w:t>
      </w:r>
      <w:r>
        <w:rPr>
          <w:rFonts w:hint="eastAsia"/>
          <w:sz w:val="21"/>
          <w:szCs w:val="21"/>
        </w:rPr>
        <w:t>应</w:t>
      </w:r>
      <w:r>
        <w:rPr>
          <w:sz w:val="21"/>
          <w:szCs w:val="21"/>
        </w:rPr>
        <w:t xml:space="preserve"> </w:t>
      </w:r>
      <w:r>
        <w:rPr>
          <w:rFonts w:hint="eastAsia"/>
          <w:sz w:val="21"/>
          <w:szCs w:val="21"/>
        </w:rPr>
        <w:t>商</w:t>
      </w:r>
      <w:r>
        <w:rPr>
          <w:sz w:val="21"/>
          <w:szCs w:val="21"/>
        </w:rPr>
        <w:t>：</w:t>
      </w:r>
      <w:r>
        <w:rPr>
          <w:sz w:val="21"/>
          <w:szCs w:val="21"/>
          <w:u w:val="single"/>
        </w:rPr>
        <w:t xml:space="preserve">                      </w:t>
      </w:r>
      <w:r>
        <w:rPr>
          <w:sz w:val="21"/>
          <w:szCs w:val="21"/>
        </w:rPr>
        <w:t>（盖单位章）</w:t>
      </w:r>
    </w:p>
    <w:p>
      <w:pPr>
        <w:spacing w:line="460" w:lineRule="exact"/>
        <w:jc w:val="right"/>
      </w:pPr>
      <w:r>
        <w:rPr>
          <w:sz w:val="21"/>
          <w:szCs w:val="21"/>
          <w:u w:val="single"/>
        </w:rPr>
        <w:t xml:space="preserve"> </w:t>
      </w:r>
      <w:r>
        <w:rPr>
          <w:rFonts w:hint="eastAsia"/>
          <w:sz w:val="21"/>
          <w:szCs w:val="21"/>
          <w:u w:val="single"/>
        </w:rPr>
        <w:t xml:space="preserve">        </w:t>
      </w:r>
      <w:r>
        <w:rPr>
          <w:sz w:val="21"/>
          <w:szCs w:val="21"/>
        </w:rPr>
        <w:t>年</w:t>
      </w:r>
      <w:r>
        <w:rPr>
          <w:rFonts w:hint="eastAsia"/>
          <w:sz w:val="21"/>
          <w:szCs w:val="21"/>
          <w:u w:val="single"/>
        </w:rPr>
        <w:t xml:space="preserve">        </w:t>
      </w:r>
      <w:r>
        <w:rPr>
          <w:sz w:val="21"/>
          <w:szCs w:val="21"/>
        </w:rPr>
        <w:t>月</w:t>
      </w:r>
      <w:r>
        <w:rPr>
          <w:rFonts w:hint="eastAsia"/>
          <w:sz w:val="21"/>
          <w:szCs w:val="21"/>
          <w:u w:val="single"/>
        </w:rPr>
        <w:t xml:space="preserve">        </w:t>
      </w:r>
      <w:r>
        <w:rPr>
          <w:sz w:val="21"/>
          <w:szCs w:val="21"/>
        </w:rPr>
        <w:t>日</w:t>
      </w:r>
    </w:p>
    <w:p>
      <w:pPr>
        <w:pStyle w:val="4"/>
      </w:pPr>
      <w:r>
        <w:rPr>
          <w:rFonts w:ascii="方正黑体简体" w:eastAsia="方正黑体简体"/>
          <w:sz w:val="36"/>
          <w:szCs w:val="36"/>
        </w:rPr>
        <w:br w:type="page"/>
      </w:r>
      <w:r>
        <w:rPr>
          <w:rFonts w:hint="eastAsia"/>
        </w:rPr>
        <w:t>（二）法定代表人授权委托书</w:t>
      </w:r>
    </w:p>
    <w:p>
      <w:pPr>
        <w:spacing w:line="460" w:lineRule="exact"/>
        <w:ind w:firstLine="420" w:firstLineChars="200"/>
        <w:rPr>
          <w:sz w:val="21"/>
          <w:szCs w:val="21"/>
        </w:rPr>
      </w:pPr>
      <w:r>
        <w:rPr>
          <w:sz w:val="21"/>
          <w:szCs w:val="21"/>
        </w:rPr>
        <w:t>本人</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（姓名）系</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（供应商名称）的法定代表人，现委托</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（姓名）为我方代理人。委托代理人根据授权，以我方名义签署、澄清、说明、补正、递交、撤回、修改</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（项目名称</w:t>
      </w:r>
      <w:r>
        <w:rPr>
          <w:rFonts w:hint="eastAsia"/>
          <w:sz w:val="21"/>
          <w:szCs w:val="21"/>
        </w:rPr>
        <w:t>、项目编号</w:t>
      </w:r>
      <w:r>
        <w:rPr>
          <w:sz w:val="21"/>
          <w:szCs w:val="21"/>
        </w:rPr>
        <w:t>）响应文件、签订合同和处理有关事宜，其法律后果由我方承担。</w:t>
      </w:r>
    </w:p>
    <w:p>
      <w:pPr>
        <w:spacing w:line="460" w:lineRule="exact"/>
        <w:ind w:firstLine="420" w:firstLineChars="200"/>
        <w:rPr>
          <w:sz w:val="21"/>
          <w:szCs w:val="21"/>
        </w:rPr>
      </w:pPr>
      <w:r>
        <w:rPr>
          <w:sz w:val="21"/>
          <w:szCs w:val="21"/>
        </w:rPr>
        <w:t>委托期限：</w:t>
      </w:r>
      <w:r>
        <w:rPr>
          <w:sz w:val="21"/>
          <w:szCs w:val="21"/>
          <w:u w:val="single"/>
        </w:rPr>
        <w:t xml:space="preserve">             </w:t>
      </w:r>
      <w:r>
        <w:rPr>
          <w:sz w:val="21"/>
          <w:szCs w:val="21"/>
        </w:rPr>
        <w:t>。</w:t>
      </w:r>
    </w:p>
    <w:p>
      <w:pPr>
        <w:spacing w:line="460" w:lineRule="exact"/>
        <w:ind w:firstLine="420" w:firstLineChars="200"/>
        <w:rPr>
          <w:sz w:val="21"/>
          <w:szCs w:val="21"/>
        </w:rPr>
      </w:pPr>
    </w:p>
    <w:p>
      <w:pPr>
        <w:spacing w:line="460" w:lineRule="exact"/>
        <w:ind w:firstLine="420" w:firstLineChars="200"/>
        <w:rPr>
          <w:sz w:val="21"/>
          <w:szCs w:val="21"/>
        </w:rPr>
      </w:pPr>
      <w:r>
        <w:rPr>
          <w:sz w:val="21"/>
          <w:szCs w:val="21"/>
        </w:rPr>
        <w:t xml:space="preserve">委托代理人无转委托权。 </w:t>
      </w:r>
    </w:p>
    <w:p>
      <w:pPr>
        <w:spacing w:line="460" w:lineRule="exact"/>
        <w:ind w:firstLine="422" w:firstLineChars="200"/>
        <w:rPr>
          <w:b/>
          <w:sz w:val="21"/>
          <w:szCs w:val="21"/>
        </w:rPr>
      </w:pPr>
      <w:r>
        <w:rPr>
          <w:b/>
          <w:sz w:val="21"/>
          <w:szCs w:val="21"/>
        </w:rPr>
        <w:t>附：法人身份证明</w:t>
      </w:r>
    </w:p>
    <w:p>
      <w:pPr>
        <w:spacing w:line="460" w:lineRule="exact"/>
        <w:ind w:firstLine="422" w:firstLineChars="200"/>
        <w:rPr>
          <w:b/>
          <w:sz w:val="21"/>
          <w:szCs w:val="21"/>
        </w:rPr>
      </w:pPr>
      <w:r>
        <w:rPr>
          <w:rFonts w:hint="eastAsia"/>
          <w:b/>
          <w:sz w:val="21"/>
          <w:szCs w:val="21"/>
        </w:rPr>
        <w:t>附：</w:t>
      </w:r>
      <w:r>
        <w:rPr>
          <w:b/>
          <w:sz w:val="21"/>
          <w:szCs w:val="21"/>
        </w:rPr>
        <w:t>委托代理人身份证</w:t>
      </w:r>
      <w:r>
        <w:rPr>
          <w:rFonts w:hint="eastAsia"/>
          <w:b/>
          <w:sz w:val="21"/>
          <w:szCs w:val="21"/>
        </w:rPr>
        <w:t>（正反面）</w:t>
      </w:r>
      <w:r>
        <w:rPr>
          <w:b/>
          <w:sz w:val="21"/>
          <w:szCs w:val="21"/>
        </w:rPr>
        <w:t>复印件</w:t>
      </w:r>
    </w:p>
    <w:p>
      <w:pPr>
        <w:spacing w:line="460" w:lineRule="exact"/>
        <w:ind w:left="-206" w:leftChars="-86" w:right="-180" w:rightChars="-75" w:firstLine="420" w:firstLineChars="200"/>
        <w:rPr>
          <w:sz w:val="21"/>
          <w:szCs w:val="21"/>
        </w:rPr>
      </w:pPr>
    </w:p>
    <w:p>
      <w:pPr>
        <w:spacing w:line="460" w:lineRule="exact"/>
        <w:ind w:right="-180" w:rightChars="-75" w:firstLine="2310" w:firstLineChars="1100"/>
        <w:rPr>
          <w:sz w:val="21"/>
          <w:szCs w:val="21"/>
        </w:rPr>
      </w:pPr>
      <w:r>
        <w:rPr>
          <w:sz w:val="21"/>
          <w:szCs w:val="21"/>
        </w:rPr>
        <w:t xml:space="preserve"> </w:t>
      </w:r>
      <w:r>
        <w:rPr>
          <w:rFonts w:hint="eastAsia"/>
          <w:sz w:val="21"/>
          <w:szCs w:val="21"/>
        </w:rPr>
        <w:t>供</w:t>
      </w:r>
      <w:r>
        <w:rPr>
          <w:sz w:val="21"/>
          <w:szCs w:val="21"/>
        </w:rPr>
        <w:t xml:space="preserve">  </w:t>
      </w:r>
      <w:r>
        <w:rPr>
          <w:rFonts w:hint="eastAsia"/>
          <w:sz w:val="21"/>
          <w:szCs w:val="21"/>
        </w:rPr>
        <w:t>应</w:t>
      </w:r>
      <w:r>
        <w:rPr>
          <w:sz w:val="21"/>
          <w:szCs w:val="21"/>
        </w:rPr>
        <w:t xml:space="preserve">  </w:t>
      </w:r>
      <w:r>
        <w:rPr>
          <w:rFonts w:hint="eastAsia"/>
          <w:sz w:val="21"/>
          <w:szCs w:val="21"/>
        </w:rPr>
        <w:t>商</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（盖单位章） </w:t>
      </w:r>
    </w:p>
    <w:p>
      <w:pPr>
        <w:spacing w:line="460" w:lineRule="exact"/>
        <w:ind w:right="-180" w:rightChars="-75" w:firstLine="2415" w:firstLineChars="1150"/>
        <w:rPr>
          <w:sz w:val="21"/>
          <w:szCs w:val="21"/>
        </w:rPr>
      </w:pPr>
      <w:r>
        <w:rPr>
          <w:sz w:val="21"/>
          <w:szCs w:val="21"/>
        </w:rPr>
        <w:t>法定代表人：</w:t>
      </w:r>
      <w:r>
        <w:rPr>
          <w:sz w:val="21"/>
          <w:szCs w:val="21"/>
          <w:u w:val="single"/>
        </w:rPr>
        <w:t xml:space="preserve">                            </w:t>
      </w:r>
      <w:r>
        <w:rPr>
          <w:sz w:val="21"/>
          <w:szCs w:val="21"/>
        </w:rPr>
        <w:t>（签字</w:t>
      </w:r>
      <w:r>
        <w:rPr>
          <w:rFonts w:hint="eastAsia"/>
          <w:sz w:val="21"/>
          <w:szCs w:val="21"/>
        </w:rPr>
        <w:t>或</w:t>
      </w:r>
      <w:r>
        <w:rPr>
          <w:rFonts w:hint="eastAsia" w:ascii="宋体" w:hAnsi="宋体"/>
          <w:sz w:val="21"/>
          <w:szCs w:val="21"/>
        </w:rPr>
        <w:t>签章</w:t>
      </w:r>
      <w:r>
        <w:rPr>
          <w:sz w:val="21"/>
          <w:szCs w:val="21"/>
        </w:rPr>
        <w:t>）</w:t>
      </w:r>
    </w:p>
    <w:p>
      <w:pPr>
        <w:spacing w:line="460" w:lineRule="exact"/>
        <w:ind w:right="-180" w:rightChars="-75"/>
        <w:rPr>
          <w:sz w:val="21"/>
          <w:szCs w:val="21"/>
        </w:rPr>
      </w:pPr>
      <w:r>
        <w:rPr>
          <w:sz w:val="21"/>
          <w:szCs w:val="21"/>
        </w:rPr>
        <w:t xml:space="preserve">                       身份证号码：</w:t>
      </w:r>
      <w:r>
        <w:rPr>
          <w:sz w:val="21"/>
          <w:szCs w:val="21"/>
          <w:u w:val="single"/>
        </w:rPr>
        <w:t xml:space="preserve">                            </w:t>
      </w:r>
    </w:p>
    <w:p>
      <w:pPr>
        <w:spacing w:line="460" w:lineRule="exact"/>
        <w:ind w:right="-180" w:rightChars="-75"/>
        <w:rPr>
          <w:sz w:val="21"/>
          <w:szCs w:val="21"/>
        </w:rPr>
      </w:pPr>
      <w:r>
        <w:rPr>
          <w:sz w:val="21"/>
          <w:szCs w:val="21"/>
        </w:rPr>
        <w:t xml:space="preserve">                       委托代理人：</w:t>
      </w:r>
      <w:r>
        <w:rPr>
          <w:sz w:val="21"/>
          <w:szCs w:val="21"/>
          <w:u w:val="single"/>
        </w:rPr>
        <w:t xml:space="preserve">                            </w:t>
      </w:r>
      <w:r>
        <w:rPr>
          <w:sz w:val="21"/>
          <w:szCs w:val="21"/>
        </w:rPr>
        <w:t xml:space="preserve">（签字） </w:t>
      </w:r>
    </w:p>
    <w:p>
      <w:pPr>
        <w:spacing w:line="460" w:lineRule="exact"/>
        <w:ind w:right="-180" w:rightChars="-75" w:firstLine="2415" w:firstLineChars="1150"/>
        <w:rPr>
          <w:sz w:val="21"/>
          <w:szCs w:val="21"/>
          <w:u w:val="single"/>
        </w:rPr>
      </w:pPr>
      <w:r>
        <w:rPr>
          <w:sz w:val="21"/>
          <w:szCs w:val="21"/>
        </w:rPr>
        <w:t>身份证号码：</w:t>
      </w:r>
      <w:r>
        <w:rPr>
          <w:sz w:val="21"/>
          <w:szCs w:val="21"/>
          <w:u w:val="single"/>
        </w:rPr>
        <w:t xml:space="preserve">                            </w:t>
      </w:r>
    </w:p>
    <w:p>
      <w:pPr>
        <w:spacing w:line="460" w:lineRule="exact"/>
        <w:ind w:right="-180" w:rightChars="-75" w:firstLine="2415" w:firstLineChars="1150"/>
        <w:rPr>
          <w:sz w:val="21"/>
          <w:szCs w:val="21"/>
        </w:rPr>
      </w:pPr>
      <w:r>
        <w:rPr>
          <w:sz w:val="21"/>
          <w:szCs w:val="21"/>
        </w:rPr>
        <w:t xml:space="preserve">授权委托日期：  </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spacing w:line="460" w:lineRule="exact"/>
        <w:ind w:right="240"/>
        <w:rPr>
          <w:rFonts w:ascii="宋体" w:hAnsi="宋体"/>
          <w:b/>
          <w:spacing w:val="10"/>
          <w:sz w:val="21"/>
          <w:szCs w:val="21"/>
        </w:rPr>
      </w:pPr>
    </w:p>
    <w:p>
      <w:pPr>
        <w:spacing w:before="120" w:beforeLines="50" w:line="360" w:lineRule="auto"/>
        <w:jc w:val="both"/>
        <w:rPr>
          <w:rFonts w:ascii="宋体" w:hAnsi="宋体"/>
          <w:b/>
          <w:spacing w:val="10"/>
          <w:sz w:val="21"/>
          <w:szCs w:val="21"/>
        </w:rPr>
      </w:pPr>
    </w:p>
    <w:p>
      <w:pPr>
        <w:spacing w:before="120" w:beforeLines="50" w:line="360" w:lineRule="auto"/>
        <w:jc w:val="both"/>
        <w:rPr>
          <w:rFonts w:ascii="宋体" w:hAnsi="宋体"/>
          <w:b/>
          <w:spacing w:val="10"/>
          <w:sz w:val="21"/>
          <w:szCs w:val="21"/>
        </w:rPr>
      </w:pPr>
    </w:p>
    <w:p>
      <w:pPr>
        <w:spacing w:before="120" w:beforeLines="50" w:line="360" w:lineRule="auto"/>
        <w:jc w:val="both"/>
        <w:rPr>
          <w:rFonts w:ascii="宋体" w:hAnsi="宋体"/>
          <w:b/>
          <w:spacing w:val="10"/>
          <w:sz w:val="21"/>
          <w:szCs w:val="21"/>
        </w:rPr>
      </w:pPr>
    </w:p>
    <w:p>
      <w:pPr>
        <w:spacing w:before="120" w:beforeLines="50" w:line="360" w:lineRule="auto"/>
        <w:jc w:val="both"/>
        <w:rPr>
          <w:rFonts w:ascii="宋体" w:hAnsi="宋体"/>
          <w:b/>
          <w:spacing w:val="10"/>
          <w:sz w:val="21"/>
          <w:szCs w:val="21"/>
        </w:rPr>
      </w:pPr>
    </w:p>
    <w:p>
      <w:pPr>
        <w:spacing w:before="120" w:beforeLines="50" w:line="360" w:lineRule="auto"/>
        <w:jc w:val="both"/>
        <w:rPr>
          <w:rFonts w:ascii="宋体" w:hAnsi="宋体"/>
          <w:b/>
          <w:spacing w:val="10"/>
          <w:sz w:val="21"/>
          <w:szCs w:val="21"/>
        </w:rPr>
      </w:pPr>
      <w:r>
        <w:rPr>
          <w:rFonts w:hint="eastAsia" w:ascii="宋体" w:hAnsi="宋体"/>
          <w:b/>
          <w:spacing w:val="10"/>
          <w:sz w:val="21"/>
          <w:szCs w:val="21"/>
        </w:rPr>
        <w:t>备注： 响应文件由法定代表人签署的，响应文件中不需本</w:t>
      </w:r>
      <w:r>
        <w:rPr>
          <w:rFonts w:ascii="宋体" w:hAnsi="宋体"/>
          <w:b/>
          <w:spacing w:val="10"/>
          <w:sz w:val="21"/>
          <w:szCs w:val="21"/>
        </w:rPr>
        <w:t>授权委托书</w:t>
      </w:r>
      <w:r>
        <w:rPr>
          <w:rFonts w:hint="eastAsia" w:ascii="宋体" w:hAnsi="宋体"/>
          <w:b/>
          <w:spacing w:val="10"/>
          <w:sz w:val="21"/>
          <w:szCs w:val="21"/>
        </w:rPr>
        <w:t>。</w:t>
      </w:r>
      <w:r>
        <w:rPr>
          <w:rFonts w:hint="eastAsia" w:ascii="宋体" w:hAnsi="宋体"/>
          <w:b/>
          <w:sz w:val="21"/>
          <w:szCs w:val="21"/>
        </w:rPr>
        <w:t>响应文件由委托代理人签署的，响应文件中应附本</w:t>
      </w:r>
      <w:r>
        <w:rPr>
          <w:rFonts w:ascii="宋体" w:hAnsi="宋体"/>
          <w:b/>
          <w:sz w:val="21"/>
          <w:szCs w:val="21"/>
        </w:rPr>
        <w:t>授权委托书</w:t>
      </w:r>
      <w:r>
        <w:rPr>
          <w:rFonts w:hint="eastAsia" w:ascii="宋体" w:hAnsi="宋体"/>
          <w:b/>
          <w:spacing w:val="10"/>
          <w:sz w:val="21"/>
          <w:szCs w:val="21"/>
        </w:rPr>
        <w:t>。</w:t>
      </w:r>
    </w:p>
    <w:p>
      <w:pPr>
        <w:pStyle w:val="4"/>
      </w:pPr>
      <w:r>
        <w:br w:type="page"/>
      </w:r>
      <w:r>
        <w:rPr>
          <w:rFonts w:hint="eastAsia" w:ascii="宋体" w:hAnsi="宋体"/>
          <w:sz w:val="21"/>
          <w:szCs w:val="21"/>
        </w:rPr>
        <w:t>三</w:t>
      </w:r>
      <w:r>
        <w:rPr>
          <w:rFonts w:hint="eastAsia"/>
        </w:rPr>
        <w:t>、报价一览表</w:t>
      </w:r>
    </w:p>
    <w:p>
      <w:pPr>
        <w:snapToGrid w:val="0"/>
        <w:spacing w:line="360" w:lineRule="auto"/>
        <w:rPr>
          <w:rFonts w:ascii="宋体" w:hAnsi="宋体"/>
          <w:sz w:val="21"/>
          <w:szCs w:val="21"/>
        </w:rPr>
      </w:pPr>
      <w:r>
        <w:rPr>
          <w:rFonts w:hint="eastAsia" w:ascii="宋体" w:hAnsi="宋体"/>
          <w:sz w:val="21"/>
          <w:szCs w:val="21"/>
        </w:rPr>
        <w:t>项目</w:t>
      </w:r>
      <w:r>
        <w:rPr>
          <w:rFonts w:ascii="宋体" w:hAnsi="宋体"/>
          <w:sz w:val="21"/>
          <w:szCs w:val="21"/>
        </w:rPr>
        <w:t>名称：</w:t>
      </w:r>
    </w:p>
    <w:p>
      <w:pPr>
        <w:snapToGrid w:val="0"/>
        <w:spacing w:line="360" w:lineRule="auto"/>
        <w:rPr>
          <w:rFonts w:ascii="宋体" w:hAnsi="宋体"/>
          <w:sz w:val="21"/>
          <w:szCs w:val="21"/>
        </w:rPr>
      </w:pPr>
      <w:r>
        <w:rPr>
          <w:rFonts w:hint="eastAsia" w:ascii="宋体" w:hAnsi="宋体"/>
          <w:sz w:val="21"/>
          <w:szCs w:val="21"/>
        </w:rPr>
        <w:t>项目</w:t>
      </w:r>
      <w:r>
        <w:rPr>
          <w:rFonts w:ascii="宋体" w:hAnsi="宋体"/>
          <w:sz w:val="21"/>
          <w:szCs w:val="21"/>
        </w:rPr>
        <w:t>编号：</w:t>
      </w:r>
    </w:p>
    <w:tbl>
      <w:tblPr>
        <w:tblStyle w:val="34"/>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2948" w:type="dxa"/>
            <w:vAlign w:val="center"/>
          </w:tcPr>
          <w:p>
            <w:pPr>
              <w:snapToGrid w:val="0"/>
              <w:spacing w:line="240" w:lineRule="auto"/>
              <w:jc w:val="center"/>
              <w:rPr>
                <w:rFonts w:ascii="宋体" w:hAnsi="宋体"/>
                <w:sz w:val="21"/>
                <w:szCs w:val="21"/>
              </w:rPr>
            </w:pPr>
            <w:r>
              <w:rPr>
                <w:rFonts w:hint="eastAsia" w:ascii="宋体" w:hAnsi="宋体"/>
                <w:sz w:val="21"/>
                <w:szCs w:val="21"/>
              </w:rPr>
              <w:t>供应商名称</w:t>
            </w:r>
          </w:p>
        </w:tc>
        <w:tc>
          <w:tcPr>
            <w:tcW w:w="6358" w:type="dxa"/>
            <w:vAlign w:val="center"/>
          </w:tcPr>
          <w:p>
            <w:pPr>
              <w:snapToGrid w:val="0"/>
              <w:spacing w:line="240" w:lineRule="auto"/>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trPr>
        <w:tc>
          <w:tcPr>
            <w:tcW w:w="2948" w:type="dxa"/>
            <w:vAlign w:val="center"/>
          </w:tcPr>
          <w:p>
            <w:pPr>
              <w:snapToGrid w:val="0"/>
              <w:spacing w:line="240" w:lineRule="auto"/>
              <w:jc w:val="center"/>
              <w:rPr>
                <w:rFonts w:ascii="宋体" w:hAnsi="宋体"/>
                <w:sz w:val="21"/>
                <w:szCs w:val="21"/>
              </w:rPr>
            </w:pPr>
            <w:r>
              <w:rPr>
                <w:rFonts w:hint="eastAsia" w:ascii="宋体" w:hAnsi="宋体"/>
                <w:sz w:val="21"/>
                <w:szCs w:val="21"/>
              </w:rPr>
              <w:t>响应总报价</w:t>
            </w:r>
          </w:p>
        </w:tc>
        <w:tc>
          <w:tcPr>
            <w:tcW w:w="6358" w:type="dxa"/>
            <w:vAlign w:val="center"/>
          </w:tcPr>
          <w:p>
            <w:pPr>
              <w:snapToGrid w:val="0"/>
              <w:spacing w:line="240" w:lineRule="auto"/>
              <w:jc w:val="both"/>
              <w:rPr>
                <w:rFonts w:ascii="宋体" w:hAnsi="宋体"/>
                <w:sz w:val="21"/>
                <w:szCs w:val="21"/>
                <w:u w:val="single"/>
              </w:rPr>
            </w:pPr>
            <w:r>
              <w:rPr>
                <w:rFonts w:hint="eastAsia" w:ascii="宋体" w:hAnsi="宋体"/>
                <w:sz w:val="21"/>
                <w:szCs w:val="21"/>
              </w:rPr>
              <w:t>大写：</w:t>
            </w:r>
            <w:r>
              <w:rPr>
                <w:rFonts w:hint="eastAsia" w:ascii="宋体" w:hAnsi="宋体"/>
                <w:sz w:val="21"/>
                <w:szCs w:val="21"/>
                <w:u w:val="single"/>
              </w:rPr>
              <w:t xml:space="preserve">                   </w:t>
            </w:r>
          </w:p>
          <w:p>
            <w:pPr>
              <w:snapToGrid w:val="0"/>
              <w:spacing w:line="240" w:lineRule="auto"/>
              <w:jc w:val="both"/>
              <w:rPr>
                <w:rFonts w:ascii="宋体" w:hAnsi="宋体"/>
                <w:sz w:val="21"/>
                <w:szCs w:val="21"/>
              </w:rPr>
            </w:pPr>
            <w:r>
              <w:rPr>
                <w:rFonts w:hint="eastAsia" w:ascii="宋体" w:hAnsi="宋体"/>
                <w:sz w:val="21"/>
                <w:szCs w:val="21"/>
              </w:rPr>
              <w:t>小写：</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2948" w:type="dxa"/>
            <w:vAlign w:val="center"/>
          </w:tcPr>
          <w:p>
            <w:pPr>
              <w:snapToGrid w:val="0"/>
              <w:spacing w:line="240" w:lineRule="auto"/>
              <w:jc w:val="center"/>
              <w:rPr>
                <w:rFonts w:ascii="宋体" w:hAnsi="宋体"/>
                <w:sz w:val="21"/>
                <w:szCs w:val="21"/>
              </w:rPr>
            </w:pPr>
            <w:r>
              <w:rPr>
                <w:rFonts w:hint="eastAsia" w:ascii="宋体" w:hAnsi="宋体"/>
                <w:sz w:val="21"/>
                <w:szCs w:val="21"/>
              </w:rPr>
              <w:t>项目负责人</w:t>
            </w:r>
          </w:p>
        </w:tc>
        <w:tc>
          <w:tcPr>
            <w:tcW w:w="6358" w:type="dxa"/>
            <w:vAlign w:val="center"/>
          </w:tcPr>
          <w:p>
            <w:pPr>
              <w:snapToGrid w:val="0"/>
              <w:spacing w:line="240" w:lineRule="auto"/>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2948" w:type="dxa"/>
            <w:vAlign w:val="center"/>
          </w:tcPr>
          <w:p>
            <w:pPr>
              <w:snapToGrid w:val="0"/>
              <w:spacing w:line="240" w:lineRule="auto"/>
              <w:jc w:val="center"/>
              <w:rPr>
                <w:rFonts w:ascii="宋体" w:hAnsi="宋体"/>
                <w:sz w:val="21"/>
                <w:szCs w:val="21"/>
              </w:rPr>
            </w:pPr>
            <w:r>
              <w:rPr>
                <w:rFonts w:hint="eastAsia" w:ascii="宋体" w:hAnsi="宋体"/>
                <w:sz w:val="21"/>
                <w:szCs w:val="21"/>
              </w:rPr>
              <w:t>交货期</w:t>
            </w:r>
          </w:p>
        </w:tc>
        <w:tc>
          <w:tcPr>
            <w:tcW w:w="6358" w:type="dxa"/>
            <w:vAlign w:val="center"/>
          </w:tcPr>
          <w:p>
            <w:pPr>
              <w:snapToGrid w:val="0"/>
              <w:spacing w:line="240" w:lineRule="auto"/>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2948" w:type="dxa"/>
            <w:vAlign w:val="center"/>
          </w:tcPr>
          <w:p>
            <w:pPr>
              <w:snapToGrid w:val="0"/>
              <w:spacing w:line="240" w:lineRule="auto"/>
              <w:jc w:val="center"/>
              <w:rPr>
                <w:rFonts w:ascii="宋体" w:hAnsi="宋体"/>
                <w:sz w:val="21"/>
                <w:szCs w:val="21"/>
              </w:rPr>
            </w:pPr>
            <w:r>
              <w:rPr>
                <w:rFonts w:hint="eastAsia" w:ascii="宋体" w:hAnsi="宋体"/>
                <w:sz w:val="21"/>
                <w:szCs w:val="21"/>
              </w:rPr>
              <w:t>质保期</w:t>
            </w:r>
          </w:p>
        </w:tc>
        <w:tc>
          <w:tcPr>
            <w:tcW w:w="6358" w:type="dxa"/>
            <w:vAlign w:val="center"/>
          </w:tcPr>
          <w:p>
            <w:pPr>
              <w:snapToGrid w:val="0"/>
              <w:spacing w:line="240" w:lineRule="auto"/>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2948" w:type="dxa"/>
            <w:vAlign w:val="center"/>
          </w:tcPr>
          <w:p>
            <w:pPr>
              <w:snapToGrid w:val="0"/>
              <w:spacing w:line="240" w:lineRule="auto"/>
              <w:jc w:val="center"/>
              <w:rPr>
                <w:rFonts w:ascii="宋体" w:hAnsi="宋体"/>
                <w:sz w:val="21"/>
                <w:szCs w:val="21"/>
              </w:rPr>
            </w:pPr>
            <w:r>
              <w:rPr>
                <w:rFonts w:hint="eastAsia" w:ascii="宋体" w:hAnsi="宋体"/>
                <w:sz w:val="21"/>
                <w:szCs w:val="21"/>
              </w:rPr>
              <w:t>备注</w:t>
            </w:r>
          </w:p>
        </w:tc>
        <w:tc>
          <w:tcPr>
            <w:tcW w:w="6358" w:type="dxa"/>
            <w:vAlign w:val="center"/>
          </w:tcPr>
          <w:p>
            <w:pPr>
              <w:snapToGrid w:val="0"/>
              <w:spacing w:line="240" w:lineRule="auto"/>
              <w:jc w:val="both"/>
              <w:rPr>
                <w:rFonts w:ascii="宋体" w:hAnsi="宋体"/>
                <w:sz w:val="21"/>
                <w:szCs w:val="21"/>
              </w:rPr>
            </w:pPr>
          </w:p>
        </w:tc>
      </w:tr>
    </w:tbl>
    <w:p>
      <w:pPr>
        <w:spacing w:before="240" w:beforeLines="100" w:line="360" w:lineRule="auto"/>
        <w:rPr>
          <w:rFonts w:ascii="宋体" w:hAnsi="宋体"/>
          <w:sz w:val="21"/>
          <w:szCs w:val="21"/>
        </w:rPr>
      </w:pPr>
      <w:r>
        <w:rPr>
          <w:rFonts w:ascii="宋体" w:hAnsi="宋体"/>
          <w:sz w:val="21"/>
          <w:szCs w:val="21"/>
        </w:rPr>
        <w:t>说明：1、</w:t>
      </w:r>
      <w:r>
        <w:rPr>
          <w:rFonts w:hint="eastAsia" w:ascii="宋体" w:hAnsi="宋体"/>
          <w:sz w:val="21"/>
          <w:szCs w:val="21"/>
        </w:rPr>
        <w:t>响应总价</w:t>
      </w:r>
      <w:r>
        <w:rPr>
          <w:rFonts w:ascii="宋体" w:hAnsi="宋体"/>
          <w:sz w:val="21"/>
          <w:szCs w:val="21"/>
        </w:rPr>
        <w:t>用人民币表示，单位为元</w:t>
      </w:r>
      <w:r>
        <w:rPr>
          <w:rFonts w:hint="eastAsia" w:ascii="宋体" w:hAnsi="宋体"/>
          <w:sz w:val="21"/>
          <w:szCs w:val="21"/>
        </w:rPr>
        <w:t>。</w:t>
      </w:r>
    </w:p>
    <w:p>
      <w:pPr>
        <w:snapToGrid w:val="0"/>
        <w:spacing w:line="360"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供应商的响应总报价应为完成项目的所有费用之和。</w:t>
      </w:r>
    </w:p>
    <w:p>
      <w:pPr>
        <w:snapToGrid w:val="0"/>
        <w:spacing w:line="360" w:lineRule="auto"/>
        <w:rPr>
          <w:rFonts w:ascii="宋体" w:hAnsi="宋体"/>
          <w:sz w:val="21"/>
          <w:szCs w:val="21"/>
        </w:rPr>
      </w:pPr>
      <w:r>
        <w:rPr>
          <w:rFonts w:hint="eastAsia" w:ascii="宋体" w:hAnsi="宋体"/>
          <w:sz w:val="21"/>
          <w:szCs w:val="21"/>
        </w:rPr>
        <w:t>3、</w:t>
      </w:r>
      <w:r>
        <w:rPr>
          <w:rFonts w:ascii="宋体" w:hAnsi="宋体"/>
          <w:sz w:val="21"/>
          <w:szCs w:val="21"/>
        </w:rPr>
        <w:t>此表除保留在响应文件中外，还</w:t>
      </w:r>
      <w:r>
        <w:rPr>
          <w:rFonts w:hint="eastAsia" w:ascii="宋体" w:hAnsi="宋体"/>
          <w:sz w:val="21"/>
          <w:szCs w:val="21"/>
        </w:rPr>
        <w:t>须</w:t>
      </w:r>
      <w:r>
        <w:rPr>
          <w:rFonts w:ascii="宋体" w:hAnsi="宋体"/>
          <w:sz w:val="21"/>
          <w:szCs w:val="21"/>
        </w:rPr>
        <w:t>另附一份</w:t>
      </w:r>
      <w:r>
        <w:rPr>
          <w:rFonts w:hint="eastAsia" w:ascii="宋体" w:hAnsi="宋体"/>
          <w:sz w:val="21"/>
          <w:szCs w:val="21"/>
        </w:rPr>
        <w:t>并按本文件第三章“供应商须知”第14条的要求密封及标记。</w:t>
      </w:r>
    </w:p>
    <w:p>
      <w:pPr>
        <w:snapToGrid w:val="0"/>
        <w:spacing w:line="360" w:lineRule="auto"/>
        <w:rPr>
          <w:rFonts w:ascii="宋体" w:hAnsi="宋体"/>
          <w:sz w:val="21"/>
          <w:szCs w:val="21"/>
        </w:rPr>
      </w:pPr>
      <w:r>
        <w:rPr>
          <w:rFonts w:hint="eastAsia" w:ascii="宋体" w:hAnsi="宋体"/>
          <w:sz w:val="21"/>
          <w:szCs w:val="21"/>
        </w:rPr>
        <w:t>4、报价一览表要求按格式统一填写，不得自行删减内容，否则作</w:t>
      </w:r>
      <w:r>
        <w:rPr>
          <w:rFonts w:hint="eastAsia" w:ascii="宋体" w:hAnsi="宋体"/>
          <w:b/>
          <w:sz w:val="21"/>
          <w:szCs w:val="21"/>
        </w:rPr>
        <w:t>无效响应处理</w:t>
      </w:r>
      <w:r>
        <w:rPr>
          <w:rFonts w:hint="eastAsia" w:ascii="宋体" w:hAnsi="宋体"/>
          <w:sz w:val="21"/>
          <w:szCs w:val="21"/>
        </w:rPr>
        <w:t>。</w:t>
      </w:r>
    </w:p>
    <w:p>
      <w:pPr>
        <w:snapToGrid w:val="0"/>
        <w:spacing w:line="360" w:lineRule="auto"/>
        <w:rPr>
          <w:rFonts w:ascii="宋体" w:hAnsi="宋体"/>
          <w:sz w:val="21"/>
          <w:szCs w:val="21"/>
        </w:rPr>
      </w:pPr>
    </w:p>
    <w:p>
      <w:pPr>
        <w:snapToGrid w:val="0"/>
        <w:spacing w:line="360" w:lineRule="auto"/>
        <w:rPr>
          <w:rFonts w:ascii="宋体" w:hAnsi="宋体"/>
          <w:sz w:val="21"/>
          <w:szCs w:val="21"/>
        </w:rPr>
      </w:pPr>
    </w:p>
    <w:p>
      <w:pPr>
        <w:snapToGrid w:val="0"/>
        <w:spacing w:line="360" w:lineRule="auto"/>
        <w:rPr>
          <w:rFonts w:ascii="宋体" w:hAnsi="宋体"/>
          <w:sz w:val="21"/>
          <w:szCs w:val="21"/>
          <w:u w:val="single"/>
        </w:rPr>
      </w:pPr>
      <w:r>
        <w:rPr>
          <w:rFonts w:ascii="宋体" w:hAnsi="宋体"/>
          <w:sz w:val="21"/>
          <w:szCs w:val="21"/>
        </w:rPr>
        <w:t>供应商（公章）：</w:t>
      </w:r>
    </w:p>
    <w:p>
      <w:pPr>
        <w:snapToGrid w:val="0"/>
        <w:spacing w:line="360" w:lineRule="auto"/>
        <w:rPr>
          <w:rFonts w:ascii="宋体" w:hAnsi="宋体"/>
          <w:sz w:val="21"/>
          <w:szCs w:val="21"/>
        </w:rPr>
      </w:pPr>
      <w:r>
        <w:rPr>
          <w:rFonts w:ascii="宋体" w:hAnsi="宋体"/>
          <w:sz w:val="21"/>
          <w:szCs w:val="21"/>
        </w:rPr>
        <w:t>供应商代表</w:t>
      </w:r>
      <w:r>
        <w:rPr>
          <w:rFonts w:hint="eastAsia" w:ascii="宋体" w:hAnsi="宋体"/>
          <w:sz w:val="21"/>
          <w:szCs w:val="21"/>
        </w:rPr>
        <w:t>（</w:t>
      </w:r>
      <w:r>
        <w:rPr>
          <w:rFonts w:ascii="宋体" w:hAnsi="宋体"/>
          <w:sz w:val="21"/>
          <w:szCs w:val="21"/>
        </w:rPr>
        <w:t>签字</w:t>
      </w:r>
      <w:r>
        <w:rPr>
          <w:rFonts w:hint="eastAsia" w:ascii="宋体" w:hAnsi="宋体"/>
          <w:sz w:val="21"/>
          <w:szCs w:val="21"/>
        </w:rPr>
        <w:t>）</w:t>
      </w:r>
      <w:r>
        <w:rPr>
          <w:rFonts w:ascii="宋体" w:hAnsi="宋体"/>
          <w:sz w:val="21"/>
          <w:szCs w:val="21"/>
        </w:rPr>
        <w:t>：</w:t>
      </w:r>
    </w:p>
    <w:p>
      <w:pPr>
        <w:snapToGrid w:val="0"/>
        <w:spacing w:line="360" w:lineRule="auto"/>
        <w:rPr>
          <w:rFonts w:ascii="宋体" w:hAnsi="宋体"/>
          <w:sz w:val="21"/>
          <w:szCs w:val="21"/>
        </w:rPr>
      </w:pPr>
      <w:r>
        <w:rPr>
          <w:rFonts w:hint="eastAsia" w:ascii="宋体" w:hAnsi="宋体"/>
          <w:sz w:val="21"/>
          <w:szCs w:val="21"/>
        </w:rPr>
        <w:t>日期</w:t>
      </w:r>
      <w:r>
        <w:rPr>
          <w:rFonts w:ascii="宋体" w:hAnsi="宋体"/>
          <w:sz w:val="21"/>
          <w:szCs w:val="21"/>
        </w:rPr>
        <w:t>：</w:t>
      </w:r>
      <w:r>
        <w:rPr>
          <w:rFonts w:hint="eastAsia" w:ascii="宋体" w:hAnsi="宋体"/>
          <w:sz w:val="21"/>
          <w:szCs w:val="21"/>
        </w:rPr>
        <w:t xml:space="preserve"> </w:t>
      </w:r>
    </w:p>
    <w:p>
      <w:pPr>
        <w:pStyle w:val="4"/>
      </w:pPr>
      <w:r>
        <w:br w:type="page"/>
      </w:r>
      <w:r>
        <w:rPr>
          <w:rFonts w:hint="eastAsia"/>
        </w:rPr>
        <w:t>四、分项报价表</w:t>
      </w:r>
    </w:p>
    <w:p>
      <w:pPr>
        <w:snapToGrid w:val="0"/>
        <w:spacing w:line="360" w:lineRule="auto"/>
        <w:rPr>
          <w:rFonts w:ascii="宋体" w:hAnsi="宋体"/>
          <w:sz w:val="21"/>
          <w:szCs w:val="21"/>
        </w:rPr>
      </w:pPr>
      <w:r>
        <w:rPr>
          <w:rFonts w:hint="eastAsia" w:ascii="宋体" w:hAnsi="宋体"/>
          <w:sz w:val="21"/>
          <w:szCs w:val="21"/>
        </w:rPr>
        <w:t>项目</w:t>
      </w:r>
      <w:r>
        <w:rPr>
          <w:rFonts w:ascii="宋体" w:hAnsi="宋体"/>
          <w:sz w:val="21"/>
          <w:szCs w:val="21"/>
        </w:rPr>
        <w:t>名称：</w:t>
      </w:r>
    </w:p>
    <w:p>
      <w:pPr>
        <w:snapToGrid w:val="0"/>
        <w:spacing w:line="360" w:lineRule="auto"/>
        <w:rPr>
          <w:rFonts w:ascii="宋体" w:hAnsi="宋体"/>
          <w:sz w:val="21"/>
          <w:szCs w:val="21"/>
        </w:rPr>
      </w:pPr>
      <w:r>
        <w:rPr>
          <w:rFonts w:hint="eastAsia" w:ascii="宋体" w:hAnsi="宋体"/>
          <w:sz w:val="21"/>
          <w:szCs w:val="21"/>
        </w:rPr>
        <w:t>项目</w:t>
      </w:r>
      <w:r>
        <w:rPr>
          <w:rFonts w:ascii="宋体" w:hAnsi="宋体"/>
          <w:sz w:val="21"/>
          <w:szCs w:val="21"/>
        </w:rPr>
        <w:t>编号：</w:t>
      </w:r>
    </w:p>
    <w:tbl>
      <w:tblPr>
        <w:tblStyle w:val="34"/>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30"/>
        <w:gridCol w:w="1758"/>
        <w:gridCol w:w="1703"/>
        <w:gridCol w:w="1359"/>
        <w:gridCol w:w="124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8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序号</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货物（或服务）名称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制造商名称</w:t>
            </w:r>
          </w:p>
        </w:tc>
        <w:tc>
          <w:tcPr>
            <w:tcW w:w="1703" w:type="dxa"/>
            <w:tcBorders>
              <w:top w:val="single" w:color="auto" w:sz="4" w:space="0"/>
              <w:left w:val="single" w:color="auto" w:sz="4" w:space="0"/>
              <w:bottom w:val="single" w:color="auto" w:sz="4" w:space="0"/>
              <w:right w:val="single" w:color="auto" w:sz="4" w:space="0"/>
            </w:tcBorders>
            <w:vAlign w:val="center"/>
          </w:tcPr>
          <w:p>
            <w:pPr>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品牌/型号规格</w:t>
            </w: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数量</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单价</w:t>
            </w:r>
          </w:p>
        </w:tc>
        <w:tc>
          <w:tcPr>
            <w:tcW w:w="1225" w:type="dxa"/>
            <w:tcBorders>
              <w:top w:val="single" w:color="auto" w:sz="4" w:space="0"/>
              <w:left w:val="single" w:color="auto" w:sz="4" w:space="0"/>
              <w:bottom w:val="single" w:color="auto" w:sz="4" w:space="0"/>
              <w:right w:val="single" w:color="auto" w:sz="4" w:space="0"/>
            </w:tcBorders>
            <w:vAlign w:val="center"/>
          </w:tcPr>
          <w:p>
            <w:pPr>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0"/>
                <w:tab w:val="left" w:pos="56"/>
              </w:tabs>
              <w:snapToGrid w:val="0"/>
              <w:spacing w:line="240" w:lineRule="auto"/>
              <w:ind w:left="479" w:hanging="478" w:hangingChars="228"/>
              <w:jc w:val="center"/>
              <w:textAlignment w:val="auto"/>
              <w:rPr>
                <w:rFonts w:ascii="宋体" w:hAnsi="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ind w:left="420"/>
              <w:jc w:val="center"/>
              <w:textAlignment w:val="auto"/>
              <w:rPr>
                <w:rFonts w:ascii="宋体" w:hAnsi="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ind w:left="420"/>
              <w:jc w:val="center"/>
              <w:textAlignment w:val="auto"/>
              <w:rPr>
                <w:rFonts w:ascii="宋体" w:hAnsi="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ind w:left="420"/>
              <w:jc w:val="center"/>
              <w:textAlignment w:val="auto"/>
              <w:rPr>
                <w:rFonts w:ascii="宋体" w:hAnsi="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ind w:left="420"/>
              <w:jc w:val="center"/>
              <w:textAlignment w:val="auto"/>
              <w:rPr>
                <w:rFonts w:ascii="宋体"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ind w:left="420"/>
              <w:jc w:val="center"/>
              <w:textAlignment w:val="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0"/>
                <w:tab w:val="left" w:pos="56"/>
              </w:tabs>
              <w:snapToGrid w:val="0"/>
              <w:spacing w:line="240" w:lineRule="auto"/>
              <w:jc w:val="center"/>
              <w:textAlignment w:val="auto"/>
              <w:rPr>
                <w:rFonts w:ascii="宋体" w:hAnsi="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0"/>
                <w:tab w:val="left" w:pos="56"/>
              </w:tabs>
              <w:snapToGrid w:val="0"/>
              <w:spacing w:line="240" w:lineRule="auto"/>
              <w:jc w:val="center"/>
              <w:textAlignment w:val="auto"/>
              <w:rPr>
                <w:rFonts w:ascii="宋体" w:hAnsi="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snapToGrid w:val="0"/>
              <w:spacing w:line="240" w:lineRule="auto"/>
              <w:jc w:val="center"/>
              <w:textAlignment w:val="auto"/>
              <w:rPr>
                <w:rFonts w:ascii="宋体" w:hAnsi="宋体"/>
                <w:kern w:val="2"/>
                <w:sz w:val="21"/>
                <w:szCs w:val="21"/>
              </w:rPr>
            </w:pPr>
            <w:r>
              <w:rPr>
                <w:rFonts w:hint="eastAsia" w:ascii="宋体" w:hAnsi="宋体"/>
                <w:kern w:val="2"/>
                <w:sz w:val="21"/>
                <w:szCs w:val="21"/>
              </w:rPr>
              <w:t>…</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80" w:type="dxa"/>
            <w:gridSpan w:val="4"/>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r>
              <w:rPr>
                <w:rFonts w:hint="eastAsia" w:ascii="宋体" w:hAnsi="宋体" w:cs="宋体"/>
                <w:kern w:val="2"/>
                <w:sz w:val="21"/>
                <w:szCs w:val="21"/>
              </w:rPr>
              <w:t>合计</w:t>
            </w:r>
          </w:p>
        </w:tc>
        <w:tc>
          <w:tcPr>
            <w:tcW w:w="3825" w:type="dxa"/>
            <w:gridSpan w:val="3"/>
            <w:tcBorders>
              <w:top w:val="single" w:color="auto" w:sz="4" w:space="0"/>
              <w:left w:val="single" w:color="auto" w:sz="4" w:space="0"/>
              <w:bottom w:val="single" w:color="auto" w:sz="4" w:space="0"/>
              <w:right w:val="single" w:color="auto" w:sz="4" w:space="0"/>
            </w:tcBorders>
            <w:vAlign w:val="center"/>
          </w:tcPr>
          <w:p>
            <w:pPr>
              <w:adjustRightInd/>
              <w:spacing w:line="240" w:lineRule="auto"/>
              <w:ind w:left="-55" w:leftChars="-23" w:right="-74" w:rightChars="-31"/>
              <w:jc w:val="center"/>
              <w:textAlignment w:val="auto"/>
              <w:rPr>
                <w:rFonts w:ascii="宋体" w:hAnsi="宋体" w:cs="宋体"/>
                <w:kern w:val="2"/>
                <w:sz w:val="21"/>
                <w:szCs w:val="21"/>
              </w:rPr>
            </w:pPr>
          </w:p>
        </w:tc>
      </w:tr>
    </w:tbl>
    <w:p>
      <w:pPr>
        <w:spacing w:before="240" w:beforeLines="100" w:line="360" w:lineRule="auto"/>
        <w:rPr>
          <w:rFonts w:ascii="宋体" w:hAnsi="宋体"/>
          <w:sz w:val="21"/>
          <w:szCs w:val="21"/>
        </w:rPr>
      </w:pPr>
      <w:r>
        <w:rPr>
          <w:rFonts w:hint="eastAsia" w:ascii="宋体" w:hAnsi="宋体"/>
          <w:sz w:val="21"/>
          <w:szCs w:val="21"/>
        </w:rPr>
        <w:t>说明：（1）所有价格均用人民币表示，单位为元。</w:t>
      </w:r>
    </w:p>
    <w:p>
      <w:pPr>
        <w:snapToGrid w:val="0"/>
        <w:spacing w:line="360" w:lineRule="auto"/>
        <w:rPr>
          <w:rFonts w:ascii="宋体" w:hAnsi="宋体"/>
          <w:sz w:val="21"/>
          <w:szCs w:val="21"/>
        </w:rPr>
      </w:pPr>
      <w:r>
        <w:rPr>
          <w:rFonts w:hint="eastAsia" w:ascii="宋体" w:hAnsi="宋体"/>
          <w:sz w:val="21"/>
          <w:szCs w:val="21"/>
        </w:rPr>
        <w:t>（2）分项报价表合</w:t>
      </w:r>
      <w:r>
        <w:rPr>
          <w:rFonts w:ascii="宋体" w:hAnsi="宋体"/>
          <w:sz w:val="21"/>
          <w:szCs w:val="21"/>
        </w:rPr>
        <w:t>计价格必须与</w:t>
      </w:r>
      <w:r>
        <w:rPr>
          <w:rFonts w:hint="eastAsia" w:ascii="宋体" w:hAnsi="宋体"/>
          <w:sz w:val="21"/>
          <w:szCs w:val="21"/>
        </w:rPr>
        <w:t>报价</w:t>
      </w:r>
      <w:r>
        <w:rPr>
          <w:rFonts w:ascii="宋体" w:hAnsi="宋体"/>
          <w:sz w:val="21"/>
          <w:szCs w:val="21"/>
        </w:rPr>
        <w:t>一览表</w:t>
      </w:r>
      <w:r>
        <w:rPr>
          <w:rFonts w:hint="eastAsia" w:ascii="宋体" w:hAnsi="宋体"/>
          <w:sz w:val="21"/>
          <w:szCs w:val="21"/>
        </w:rPr>
        <w:t>总</w:t>
      </w:r>
      <w:r>
        <w:rPr>
          <w:rFonts w:ascii="宋体" w:hAnsi="宋体"/>
          <w:sz w:val="21"/>
          <w:szCs w:val="21"/>
        </w:rPr>
        <w:t>报价一致。</w:t>
      </w:r>
    </w:p>
    <w:p>
      <w:pPr>
        <w:snapToGrid w:val="0"/>
        <w:spacing w:line="360" w:lineRule="auto"/>
        <w:rPr>
          <w:rFonts w:ascii="宋体" w:hAnsi="宋体"/>
          <w:sz w:val="21"/>
          <w:szCs w:val="21"/>
        </w:rPr>
      </w:pPr>
      <w:r>
        <w:rPr>
          <w:rFonts w:hint="eastAsia" w:ascii="宋体" w:hAnsi="宋体"/>
          <w:sz w:val="21"/>
          <w:szCs w:val="21"/>
        </w:rPr>
        <w:t>（3）分项报价表应按照磋商文件第三章“投标人须知”第10.3条的要求报价。</w:t>
      </w:r>
    </w:p>
    <w:p>
      <w:pPr>
        <w:snapToGrid w:val="0"/>
        <w:spacing w:line="360" w:lineRule="auto"/>
        <w:rPr>
          <w:rFonts w:ascii="宋体" w:hAnsi="宋体"/>
          <w:sz w:val="21"/>
          <w:szCs w:val="21"/>
        </w:rPr>
      </w:pPr>
      <w:r>
        <w:rPr>
          <w:rFonts w:hint="eastAsia" w:ascii="宋体" w:hAnsi="宋体"/>
          <w:sz w:val="21"/>
          <w:szCs w:val="21"/>
        </w:rPr>
        <w:t>（4）根据文件第五章“磋商内容及要求”提供详细的分项报价表，</w:t>
      </w:r>
      <w:r>
        <w:rPr>
          <w:rFonts w:hint="eastAsia" w:ascii="宋体" w:hAnsi="宋体"/>
          <w:b/>
          <w:sz w:val="21"/>
          <w:szCs w:val="21"/>
        </w:rPr>
        <w:t>未提供详细的分项报价表将被视为没有实质性响应磋商文件，将作无效响应处理</w:t>
      </w:r>
      <w:r>
        <w:rPr>
          <w:rFonts w:hint="eastAsia" w:ascii="宋体" w:hAnsi="宋体"/>
          <w:sz w:val="21"/>
          <w:szCs w:val="21"/>
        </w:rPr>
        <w:t>。</w:t>
      </w:r>
    </w:p>
    <w:p>
      <w:pPr>
        <w:snapToGrid w:val="0"/>
        <w:spacing w:line="360" w:lineRule="auto"/>
        <w:rPr>
          <w:rFonts w:ascii="宋体" w:hAnsi="宋体"/>
          <w:sz w:val="21"/>
          <w:szCs w:val="21"/>
        </w:rPr>
      </w:pPr>
    </w:p>
    <w:p>
      <w:pPr>
        <w:snapToGrid w:val="0"/>
        <w:spacing w:line="360" w:lineRule="auto"/>
        <w:rPr>
          <w:rFonts w:ascii="宋体" w:hAnsi="宋体"/>
          <w:sz w:val="21"/>
          <w:szCs w:val="21"/>
        </w:rPr>
      </w:pPr>
    </w:p>
    <w:p>
      <w:pPr>
        <w:snapToGrid w:val="0"/>
        <w:spacing w:line="360" w:lineRule="auto"/>
        <w:rPr>
          <w:rFonts w:ascii="宋体" w:hAnsi="宋体"/>
          <w:sz w:val="21"/>
          <w:szCs w:val="21"/>
        </w:rPr>
      </w:pPr>
    </w:p>
    <w:p>
      <w:pPr>
        <w:snapToGrid w:val="0"/>
        <w:spacing w:line="360" w:lineRule="auto"/>
        <w:rPr>
          <w:rFonts w:ascii="宋体" w:hAnsi="宋体"/>
          <w:sz w:val="21"/>
          <w:szCs w:val="21"/>
        </w:rPr>
      </w:pPr>
      <w:r>
        <w:rPr>
          <w:rFonts w:ascii="宋体" w:hAnsi="宋体"/>
          <w:sz w:val="21"/>
          <w:szCs w:val="21"/>
        </w:rPr>
        <w:t>供应商（公章）：</w:t>
      </w:r>
    </w:p>
    <w:p>
      <w:pPr>
        <w:snapToGrid w:val="0"/>
        <w:spacing w:line="360" w:lineRule="auto"/>
        <w:rPr>
          <w:rFonts w:ascii="宋体" w:hAnsi="宋体"/>
          <w:sz w:val="21"/>
          <w:szCs w:val="21"/>
        </w:rPr>
      </w:pPr>
      <w:r>
        <w:rPr>
          <w:rFonts w:ascii="宋体" w:hAnsi="宋体"/>
          <w:sz w:val="21"/>
          <w:szCs w:val="21"/>
        </w:rPr>
        <w:t>供应商代表</w:t>
      </w:r>
      <w:r>
        <w:rPr>
          <w:rFonts w:hint="eastAsia" w:ascii="宋体" w:hAnsi="宋体"/>
          <w:sz w:val="21"/>
          <w:szCs w:val="21"/>
        </w:rPr>
        <w:t>（</w:t>
      </w:r>
      <w:r>
        <w:rPr>
          <w:rFonts w:ascii="宋体" w:hAnsi="宋体"/>
          <w:sz w:val="21"/>
          <w:szCs w:val="21"/>
        </w:rPr>
        <w:t>签字</w:t>
      </w:r>
      <w:r>
        <w:rPr>
          <w:rFonts w:hint="eastAsia" w:ascii="宋体" w:hAnsi="宋体"/>
          <w:sz w:val="21"/>
          <w:szCs w:val="21"/>
        </w:rPr>
        <w:t>）</w:t>
      </w:r>
      <w:r>
        <w:rPr>
          <w:rFonts w:ascii="宋体" w:hAnsi="宋体"/>
          <w:sz w:val="21"/>
          <w:szCs w:val="21"/>
        </w:rPr>
        <w:t>：</w:t>
      </w:r>
    </w:p>
    <w:p>
      <w:pPr>
        <w:snapToGrid w:val="0"/>
        <w:spacing w:line="360" w:lineRule="auto"/>
        <w:rPr>
          <w:rFonts w:ascii="宋体" w:hAnsi="宋体"/>
          <w:sz w:val="21"/>
          <w:szCs w:val="21"/>
        </w:rPr>
      </w:pPr>
      <w:r>
        <w:rPr>
          <w:rFonts w:hint="eastAsia" w:ascii="宋体" w:hAnsi="宋体"/>
          <w:sz w:val="21"/>
          <w:szCs w:val="21"/>
        </w:rPr>
        <w:t>日期</w:t>
      </w:r>
      <w:r>
        <w:rPr>
          <w:rFonts w:ascii="宋体" w:hAnsi="宋体"/>
          <w:sz w:val="21"/>
          <w:szCs w:val="21"/>
        </w:rPr>
        <w:t>：</w:t>
      </w:r>
    </w:p>
    <w:p>
      <w:pPr>
        <w:pStyle w:val="4"/>
      </w:pPr>
      <w:r>
        <w:rPr>
          <w:rFonts w:ascii="宋体" w:hAnsi="宋体"/>
          <w:sz w:val="21"/>
          <w:szCs w:val="21"/>
        </w:rPr>
        <w:br w:type="page"/>
      </w:r>
      <w:bookmarkStart w:id="62" w:name="_Toc528051892"/>
      <w:r>
        <w:rPr>
          <w:rFonts w:hint="eastAsia" w:ascii="宋体" w:hAnsi="宋体"/>
          <w:sz w:val="21"/>
          <w:szCs w:val="21"/>
        </w:rPr>
        <w:t>五</w:t>
      </w:r>
      <w:r>
        <w:rPr>
          <w:rFonts w:hint="eastAsia"/>
        </w:rPr>
        <w:t>、供应商概况</w:t>
      </w:r>
      <w:bookmarkEnd w:id="62"/>
    </w:p>
    <w:p>
      <w:pPr>
        <w:widowControl/>
        <w:snapToGrid w:val="0"/>
        <w:spacing w:line="460" w:lineRule="atLeast"/>
        <w:ind w:firstLine="420" w:firstLineChars="200"/>
        <w:rPr>
          <w:rFonts w:ascii="新宋体" w:hAnsi="新宋体" w:eastAsia="新宋体" w:cs="新宋体"/>
          <w:sz w:val="21"/>
          <w:szCs w:val="21"/>
        </w:rPr>
      </w:pPr>
      <w:r>
        <w:rPr>
          <w:rFonts w:hint="eastAsia" w:ascii="新宋体" w:hAnsi="新宋体" w:eastAsia="新宋体" w:cs="新宋体"/>
          <w:sz w:val="21"/>
          <w:szCs w:val="21"/>
        </w:rPr>
        <w:t>1、企业名称、企业注册地址、注册资金、成立时间、经营范围等。</w:t>
      </w:r>
    </w:p>
    <w:p>
      <w:pPr>
        <w:widowControl/>
        <w:snapToGrid w:val="0"/>
        <w:spacing w:line="460" w:lineRule="atLeast"/>
        <w:ind w:firstLine="420" w:firstLineChars="200"/>
        <w:rPr>
          <w:rFonts w:ascii="新宋体" w:hAnsi="新宋体" w:eastAsia="新宋体" w:cs="新宋体"/>
          <w:sz w:val="21"/>
          <w:szCs w:val="21"/>
        </w:rPr>
      </w:pPr>
      <w:r>
        <w:rPr>
          <w:rFonts w:hint="eastAsia" w:ascii="新宋体" w:hAnsi="新宋体" w:eastAsia="新宋体" w:cs="新宋体"/>
          <w:sz w:val="21"/>
          <w:szCs w:val="21"/>
        </w:rPr>
        <w:t>2、企业经营性质及人员组成、组织机构等。</w:t>
      </w:r>
    </w:p>
    <w:p>
      <w:pPr>
        <w:widowControl/>
        <w:snapToGrid w:val="0"/>
        <w:spacing w:line="460" w:lineRule="atLeast"/>
        <w:ind w:firstLine="420" w:firstLineChars="200"/>
        <w:rPr>
          <w:rFonts w:ascii="新宋体" w:hAnsi="新宋体" w:eastAsia="新宋体" w:cs="新宋体"/>
          <w:sz w:val="21"/>
          <w:szCs w:val="21"/>
        </w:rPr>
      </w:pPr>
      <w:r>
        <w:rPr>
          <w:rFonts w:hint="eastAsia" w:ascii="新宋体" w:hAnsi="新宋体" w:eastAsia="新宋体" w:cs="新宋体"/>
          <w:sz w:val="21"/>
          <w:szCs w:val="21"/>
        </w:rPr>
        <w:t>3、企业的技术水平、技术力量、装备水平等。</w:t>
      </w:r>
    </w:p>
    <w:p>
      <w:pPr>
        <w:widowControl/>
        <w:snapToGrid w:val="0"/>
        <w:spacing w:line="460" w:lineRule="atLeast"/>
        <w:ind w:firstLine="420" w:firstLineChars="200"/>
        <w:rPr>
          <w:rFonts w:ascii="新宋体" w:hAnsi="新宋体" w:eastAsia="新宋体" w:cs="新宋体"/>
          <w:sz w:val="21"/>
          <w:szCs w:val="21"/>
        </w:rPr>
      </w:pPr>
      <w:r>
        <w:rPr>
          <w:rFonts w:hint="eastAsia" w:ascii="新宋体" w:hAnsi="新宋体" w:eastAsia="新宋体" w:cs="新宋体"/>
          <w:sz w:val="21"/>
          <w:szCs w:val="21"/>
        </w:rPr>
        <w:t>4、企业证书、企业表彰、企业信誉等。</w:t>
      </w:r>
    </w:p>
    <w:p>
      <w:pPr>
        <w:widowControl/>
        <w:snapToGrid w:val="0"/>
        <w:spacing w:line="460" w:lineRule="atLeast"/>
        <w:ind w:firstLine="420" w:firstLineChars="200"/>
        <w:rPr>
          <w:rFonts w:ascii="新宋体" w:hAnsi="新宋体" w:eastAsia="新宋体" w:cs="新宋体"/>
          <w:sz w:val="21"/>
          <w:szCs w:val="21"/>
        </w:rPr>
      </w:pPr>
      <w:r>
        <w:rPr>
          <w:rFonts w:hint="eastAsia" w:ascii="新宋体" w:hAnsi="新宋体" w:eastAsia="新宋体" w:cs="新宋体"/>
          <w:sz w:val="21"/>
          <w:szCs w:val="21"/>
        </w:rPr>
        <w:t>5、供应商认为需要提供的其它材料。</w:t>
      </w:r>
    </w:p>
    <w:p>
      <w:pPr>
        <w:widowControl/>
        <w:snapToGrid w:val="0"/>
        <w:spacing w:line="460" w:lineRule="atLeast"/>
        <w:ind w:firstLine="420" w:firstLineChars="200"/>
        <w:rPr>
          <w:rFonts w:ascii="新宋体" w:hAnsi="新宋体" w:eastAsia="新宋体" w:cs="新宋体"/>
          <w:sz w:val="21"/>
          <w:szCs w:val="21"/>
        </w:rPr>
      </w:pPr>
      <w:r>
        <w:rPr>
          <w:rFonts w:hint="eastAsia" w:ascii="新宋体" w:hAnsi="新宋体" w:eastAsia="新宋体" w:cs="新宋体"/>
          <w:sz w:val="21"/>
          <w:szCs w:val="21"/>
        </w:rPr>
        <w:t>6、磋商文件要求提供其它资料。</w:t>
      </w:r>
    </w:p>
    <w:p>
      <w:pPr>
        <w:pStyle w:val="4"/>
      </w:pPr>
      <w:r>
        <w:rPr>
          <w:rFonts w:ascii="宋体" w:hAnsi="宋体"/>
          <w:sz w:val="21"/>
          <w:szCs w:val="21"/>
        </w:rPr>
        <w:br w:type="page"/>
      </w:r>
      <w:r>
        <w:rPr>
          <w:rFonts w:hint="eastAsia" w:ascii="宋体" w:hAnsi="宋体"/>
          <w:sz w:val="21"/>
          <w:szCs w:val="21"/>
        </w:rPr>
        <w:t>六</w:t>
      </w:r>
      <w:r>
        <w:rPr>
          <w:rFonts w:hint="eastAsia"/>
        </w:rPr>
        <w:t>、近五年类似项目汇总表</w:t>
      </w:r>
    </w:p>
    <w:p>
      <w:pPr>
        <w:snapToGrid w:val="0"/>
        <w:spacing w:line="460" w:lineRule="exact"/>
        <w:rPr>
          <w:rFonts w:ascii="宋体" w:hAnsi="宋体"/>
          <w:sz w:val="21"/>
          <w:szCs w:val="21"/>
        </w:rPr>
      </w:pPr>
      <w:r>
        <w:rPr>
          <w:rFonts w:hint="eastAsia" w:ascii="宋体" w:hAnsi="宋体"/>
          <w:sz w:val="21"/>
          <w:szCs w:val="21"/>
        </w:rPr>
        <w:t>项目名称：</w:t>
      </w:r>
    </w:p>
    <w:p>
      <w:pPr>
        <w:snapToGrid w:val="0"/>
        <w:spacing w:line="460" w:lineRule="exact"/>
        <w:rPr>
          <w:rFonts w:ascii="宋体" w:hAnsi="宋体"/>
          <w:sz w:val="21"/>
          <w:szCs w:val="21"/>
        </w:rPr>
      </w:pPr>
      <w:r>
        <w:rPr>
          <w:rFonts w:hint="eastAsia" w:ascii="宋体" w:hAnsi="宋体"/>
          <w:sz w:val="21"/>
          <w:szCs w:val="21"/>
        </w:rPr>
        <w:t>项目编号：</w:t>
      </w:r>
    </w:p>
    <w:tbl>
      <w:tblPr>
        <w:tblStyle w:val="34"/>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1903"/>
        <w:gridCol w:w="1911"/>
        <w:gridCol w:w="1601"/>
        <w:gridCol w:w="1610"/>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0" w:type="dxa"/>
            <w:vAlign w:val="center"/>
          </w:tcPr>
          <w:p>
            <w:pPr>
              <w:snapToGrid w:val="0"/>
              <w:spacing w:line="240" w:lineRule="auto"/>
              <w:jc w:val="center"/>
              <w:rPr>
                <w:rFonts w:ascii="宋体" w:hAnsi="宋体"/>
                <w:sz w:val="21"/>
                <w:szCs w:val="21"/>
              </w:rPr>
            </w:pPr>
            <w:r>
              <w:rPr>
                <w:rFonts w:hint="eastAsia" w:ascii="宋体" w:hAnsi="宋体"/>
                <w:sz w:val="21"/>
                <w:szCs w:val="21"/>
              </w:rPr>
              <w:t>序号</w:t>
            </w:r>
          </w:p>
        </w:tc>
        <w:tc>
          <w:tcPr>
            <w:tcW w:w="1903" w:type="dxa"/>
            <w:vAlign w:val="center"/>
          </w:tcPr>
          <w:p>
            <w:pPr>
              <w:snapToGrid w:val="0"/>
              <w:spacing w:line="240" w:lineRule="auto"/>
              <w:jc w:val="center"/>
              <w:rPr>
                <w:rFonts w:ascii="宋体" w:hAnsi="宋体"/>
                <w:sz w:val="21"/>
                <w:szCs w:val="21"/>
              </w:rPr>
            </w:pPr>
            <w:r>
              <w:rPr>
                <w:rFonts w:hint="eastAsia" w:ascii="宋体" w:hAnsi="宋体"/>
                <w:sz w:val="21"/>
                <w:szCs w:val="21"/>
              </w:rPr>
              <w:t>委托单位</w:t>
            </w:r>
          </w:p>
        </w:tc>
        <w:tc>
          <w:tcPr>
            <w:tcW w:w="1911" w:type="dxa"/>
            <w:vAlign w:val="center"/>
          </w:tcPr>
          <w:p>
            <w:pPr>
              <w:snapToGrid w:val="0"/>
              <w:spacing w:line="240" w:lineRule="auto"/>
              <w:jc w:val="center"/>
              <w:rPr>
                <w:rFonts w:ascii="宋体" w:hAnsi="宋体"/>
                <w:sz w:val="21"/>
                <w:szCs w:val="21"/>
              </w:rPr>
            </w:pPr>
            <w:r>
              <w:rPr>
                <w:rFonts w:hint="eastAsia" w:ascii="宋体" w:hAnsi="宋体"/>
                <w:sz w:val="21"/>
                <w:szCs w:val="21"/>
              </w:rPr>
              <w:t>项目名称</w:t>
            </w:r>
          </w:p>
        </w:tc>
        <w:tc>
          <w:tcPr>
            <w:tcW w:w="1601" w:type="dxa"/>
            <w:vAlign w:val="center"/>
          </w:tcPr>
          <w:p>
            <w:pPr>
              <w:snapToGrid w:val="0"/>
              <w:spacing w:line="240" w:lineRule="auto"/>
              <w:jc w:val="center"/>
              <w:rPr>
                <w:rFonts w:ascii="宋体" w:hAnsi="宋体"/>
                <w:sz w:val="21"/>
                <w:szCs w:val="21"/>
              </w:rPr>
            </w:pPr>
            <w:r>
              <w:rPr>
                <w:rFonts w:hint="eastAsia" w:ascii="宋体" w:hAnsi="宋体"/>
                <w:sz w:val="21"/>
                <w:szCs w:val="21"/>
              </w:rPr>
              <w:t>项目金额</w:t>
            </w:r>
          </w:p>
        </w:tc>
        <w:tc>
          <w:tcPr>
            <w:tcW w:w="1610" w:type="dxa"/>
            <w:vAlign w:val="center"/>
          </w:tcPr>
          <w:p>
            <w:pPr>
              <w:snapToGrid w:val="0"/>
              <w:spacing w:line="240" w:lineRule="auto"/>
              <w:jc w:val="center"/>
              <w:rPr>
                <w:rFonts w:ascii="宋体" w:hAnsi="宋体"/>
                <w:sz w:val="21"/>
                <w:szCs w:val="21"/>
              </w:rPr>
            </w:pPr>
            <w:r>
              <w:rPr>
                <w:rFonts w:hint="eastAsia" w:ascii="宋体" w:hAnsi="宋体"/>
                <w:sz w:val="21"/>
                <w:szCs w:val="21"/>
              </w:rPr>
              <w:t>合同签订时间</w:t>
            </w:r>
          </w:p>
        </w:tc>
        <w:tc>
          <w:tcPr>
            <w:tcW w:w="1594" w:type="dxa"/>
            <w:vAlign w:val="center"/>
          </w:tcPr>
          <w:p>
            <w:pPr>
              <w:snapToGrid w:val="0"/>
              <w:spacing w:line="240" w:lineRule="auto"/>
              <w:jc w:val="center"/>
              <w:rPr>
                <w:rFonts w:ascii="宋体" w:hAnsi="宋体"/>
                <w:sz w:val="21"/>
                <w:szCs w:val="21"/>
              </w:rPr>
            </w:pPr>
            <w:r>
              <w:rPr>
                <w:rFonts w:hint="eastAsia" w:ascii="宋体" w:hAnsi="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0" w:type="dxa"/>
            <w:vAlign w:val="center"/>
          </w:tcPr>
          <w:p>
            <w:pPr>
              <w:snapToGrid w:val="0"/>
              <w:spacing w:line="240" w:lineRule="auto"/>
              <w:jc w:val="center"/>
              <w:rPr>
                <w:rFonts w:ascii="宋体" w:hAnsi="宋体"/>
                <w:sz w:val="21"/>
                <w:szCs w:val="21"/>
              </w:rPr>
            </w:pPr>
            <w:r>
              <w:rPr>
                <w:rFonts w:hint="eastAsia" w:ascii="宋体" w:hAnsi="宋体"/>
                <w:sz w:val="21"/>
                <w:szCs w:val="21"/>
              </w:rPr>
              <w:t>1</w:t>
            </w:r>
          </w:p>
        </w:tc>
        <w:tc>
          <w:tcPr>
            <w:tcW w:w="1903" w:type="dxa"/>
            <w:vAlign w:val="center"/>
          </w:tcPr>
          <w:p>
            <w:pPr>
              <w:snapToGrid w:val="0"/>
              <w:spacing w:line="240" w:lineRule="auto"/>
              <w:jc w:val="center"/>
              <w:rPr>
                <w:rFonts w:ascii="宋体" w:hAnsi="宋体"/>
                <w:sz w:val="21"/>
                <w:szCs w:val="21"/>
              </w:rPr>
            </w:pPr>
          </w:p>
        </w:tc>
        <w:tc>
          <w:tcPr>
            <w:tcW w:w="1911" w:type="dxa"/>
            <w:vAlign w:val="center"/>
          </w:tcPr>
          <w:p>
            <w:pPr>
              <w:snapToGrid w:val="0"/>
              <w:spacing w:line="240" w:lineRule="auto"/>
              <w:jc w:val="center"/>
              <w:rPr>
                <w:rFonts w:ascii="宋体" w:hAnsi="宋体"/>
                <w:sz w:val="21"/>
                <w:szCs w:val="21"/>
              </w:rPr>
            </w:pPr>
          </w:p>
        </w:tc>
        <w:tc>
          <w:tcPr>
            <w:tcW w:w="1601" w:type="dxa"/>
            <w:vAlign w:val="center"/>
          </w:tcPr>
          <w:p>
            <w:pPr>
              <w:snapToGrid w:val="0"/>
              <w:spacing w:line="240" w:lineRule="auto"/>
              <w:jc w:val="center"/>
              <w:rPr>
                <w:rFonts w:ascii="宋体" w:hAnsi="宋体"/>
                <w:sz w:val="21"/>
                <w:szCs w:val="21"/>
              </w:rPr>
            </w:pPr>
          </w:p>
        </w:tc>
        <w:tc>
          <w:tcPr>
            <w:tcW w:w="1610" w:type="dxa"/>
            <w:vAlign w:val="center"/>
          </w:tcPr>
          <w:p>
            <w:pPr>
              <w:snapToGrid w:val="0"/>
              <w:spacing w:line="240" w:lineRule="auto"/>
              <w:jc w:val="center"/>
              <w:rPr>
                <w:rFonts w:ascii="宋体" w:hAnsi="宋体"/>
                <w:sz w:val="21"/>
                <w:szCs w:val="21"/>
              </w:rPr>
            </w:pPr>
          </w:p>
        </w:tc>
        <w:tc>
          <w:tcPr>
            <w:tcW w:w="1594"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0" w:type="dxa"/>
            <w:vAlign w:val="center"/>
          </w:tcPr>
          <w:p>
            <w:pPr>
              <w:snapToGrid w:val="0"/>
              <w:spacing w:line="240" w:lineRule="auto"/>
              <w:jc w:val="center"/>
              <w:rPr>
                <w:rFonts w:ascii="宋体" w:hAnsi="宋体"/>
                <w:sz w:val="21"/>
                <w:szCs w:val="21"/>
              </w:rPr>
            </w:pPr>
            <w:r>
              <w:rPr>
                <w:rFonts w:hint="eastAsia" w:ascii="宋体" w:hAnsi="宋体"/>
                <w:sz w:val="21"/>
                <w:szCs w:val="21"/>
              </w:rPr>
              <w:t>2</w:t>
            </w:r>
          </w:p>
        </w:tc>
        <w:tc>
          <w:tcPr>
            <w:tcW w:w="1903" w:type="dxa"/>
            <w:vAlign w:val="center"/>
          </w:tcPr>
          <w:p>
            <w:pPr>
              <w:snapToGrid w:val="0"/>
              <w:spacing w:line="240" w:lineRule="auto"/>
              <w:jc w:val="center"/>
              <w:rPr>
                <w:rFonts w:ascii="宋体" w:hAnsi="宋体"/>
                <w:sz w:val="21"/>
                <w:szCs w:val="21"/>
              </w:rPr>
            </w:pPr>
          </w:p>
        </w:tc>
        <w:tc>
          <w:tcPr>
            <w:tcW w:w="1911" w:type="dxa"/>
            <w:vAlign w:val="center"/>
          </w:tcPr>
          <w:p>
            <w:pPr>
              <w:snapToGrid w:val="0"/>
              <w:spacing w:line="240" w:lineRule="auto"/>
              <w:jc w:val="center"/>
              <w:rPr>
                <w:rFonts w:ascii="宋体" w:hAnsi="宋体"/>
                <w:sz w:val="21"/>
                <w:szCs w:val="21"/>
              </w:rPr>
            </w:pPr>
          </w:p>
        </w:tc>
        <w:tc>
          <w:tcPr>
            <w:tcW w:w="1601" w:type="dxa"/>
            <w:vAlign w:val="center"/>
          </w:tcPr>
          <w:p>
            <w:pPr>
              <w:snapToGrid w:val="0"/>
              <w:spacing w:line="240" w:lineRule="auto"/>
              <w:jc w:val="center"/>
              <w:rPr>
                <w:rFonts w:ascii="宋体" w:hAnsi="宋体"/>
                <w:sz w:val="21"/>
                <w:szCs w:val="21"/>
              </w:rPr>
            </w:pPr>
          </w:p>
        </w:tc>
        <w:tc>
          <w:tcPr>
            <w:tcW w:w="1610" w:type="dxa"/>
            <w:vAlign w:val="center"/>
          </w:tcPr>
          <w:p>
            <w:pPr>
              <w:snapToGrid w:val="0"/>
              <w:spacing w:line="240" w:lineRule="auto"/>
              <w:jc w:val="center"/>
              <w:rPr>
                <w:rFonts w:ascii="宋体" w:hAnsi="宋体"/>
                <w:sz w:val="21"/>
                <w:szCs w:val="21"/>
              </w:rPr>
            </w:pPr>
          </w:p>
        </w:tc>
        <w:tc>
          <w:tcPr>
            <w:tcW w:w="1594"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0" w:type="dxa"/>
            <w:vAlign w:val="center"/>
          </w:tcPr>
          <w:p>
            <w:pPr>
              <w:snapToGrid w:val="0"/>
              <w:spacing w:line="240" w:lineRule="auto"/>
              <w:jc w:val="center"/>
              <w:rPr>
                <w:rFonts w:ascii="宋体" w:hAnsi="宋体"/>
                <w:sz w:val="21"/>
                <w:szCs w:val="21"/>
              </w:rPr>
            </w:pPr>
            <w:r>
              <w:rPr>
                <w:rFonts w:hint="eastAsia" w:ascii="宋体" w:hAnsi="宋体"/>
                <w:sz w:val="21"/>
                <w:szCs w:val="21"/>
              </w:rPr>
              <w:t>3</w:t>
            </w:r>
          </w:p>
        </w:tc>
        <w:tc>
          <w:tcPr>
            <w:tcW w:w="1903" w:type="dxa"/>
            <w:vAlign w:val="center"/>
          </w:tcPr>
          <w:p>
            <w:pPr>
              <w:snapToGrid w:val="0"/>
              <w:spacing w:line="240" w:lineRule="auto"/>
              <w:jc w:val="center"/>
              <w:rPr>
                <w:rFonts w:ascii="宋体" w:hAnsi="宋体"/>
                <w:sz w:val="21"/>
                <w:szCs w:val="21"/>
              </w:rPr>
            </w:pPr>
          </w:p>
        </w:tc>
        <w:tc>
          <w:tcPr>
            <w:tcW w:w="1911" w:type="dxa"/>
            <w:vAlign w:val="center"/>
          </w:tcPr>
          <w:p>
            <w:pPr>
              <w:snapToGrid w:val="0"/>
              <w:spacing w:line="240" w:lineRule="auto"/>
              <w:jc w:val="center"/>
              <w:rPr>
                <w:rFonts w:ascii="宋体" w:hAnsi="宋体"/>
                <w:sz w:val="21"/>
                <w:szCs w:val="21"/>
              </w:rPr>
            </w:pPr>
          </w:p>
        </w:tc>
        <w:tc>
          <w:tcPr>
            <w:tcW w:w="1601" w:type="dxa"/>
            <w:vAlign w:val="center"/>
          </w:tcPr>
          <w:p>
            <w:pPr>
              <w:snapToGrid w:val="0"/>
              <w:spacing w:line="240" w:lineRule="auto"/>
              <w:jc w:val="center"/>
              <w:rPr>
                <w:rFonts w:ascii="宋体" w:hAnsi="宋体"/>
                <w:sz w:val="21"/>
                <w:szCs w:val="21"/>
              </w:rPr>
            </w:pPr>
          </w:p>
        </w:tc>
        <w:tc>
          <w:tcPr>
            <w:tcW w:w="1610" w:type="dxa"/>
            <w:vAlign w:val="center"/>
          </w:tcPr>
          <w:p>
            <w:pPr>
              <w:snapToGrid w:val="0"/>
              <w:spacing w:line="240" w:lineRule="auto"/>
              <w:jc w:val="center"/>
              <w:rPr>
                <w:rFonts w:ascii="宋体" w:hAnsi="宋体"/>
                <w:sz w:val="21"/>
                <w:szCs w:val="21"/>
              </w:rPr>
            </w:pPr>
          </w:p>
        </w:tc>
        <w:tc>
          <w:tcPr>
            <w:tcW w:w="1594"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0" w:type="dxa"/>
            <w:vAlign w:val="center"/>
          </w:tcPr>
          <w:p>
            <w:pPr>
              <w:snapToGrid w:val="0"/>
              <w:spacing w:line="240" w:lineRule="auto"/>
              <w:jc w:val="center"/>
              <w:rPr>
                <w:rFonts w:ascii="宋体" w:hAnsi="宋体"/>
                <w:sz w:val="21"/>
                <w:szCs w:val="21"/>
              </w:rPr>
            </w:pPr>
            <w:r>
              <w:rPr>
                <w:rFonts w:ascii="宋体" w:hAnsi="宋体"/>
                <w:sz w:val="21"/>
                <w:szCs w:val="21"/>
              </w:rPr>
              <w:t>…</w:t>
            </w:r>
          </w:p>
        </w:tc>
        <w:tc>
          <w:tcPr>
            <w:tcW w:w="1903" w:type="dxa"/>
            <w:vAlign w:val="center"/>
          </w:tcPr>
          <w:p>
            <w:pPr>
              <w:snapToGrid w:val="0"/>
              <w:spacing w:line="240" w:lineRule="auto"/>
              <w:jc w:val="center"/>
              <w:rPr>
                <w:rFonts w:ascii="宋体" w:hAnsi="宋体"/>
                <w:sz w:val="21"/>
                <w:szCs w:val="21"/>
              </w:rPr>
            </w:pPr>
          </w:p>
        </w:tc>
        <w:tc>
          <w:tcPr>
            <w:tcW w:w="1911" w:type="dxa"/>
            <w:vAlign w:val="center"/>
          </w:tcPr>
          <w:p>
            <w:pPr>
              <w:snapToGrid w:val="0"/>
              <w:spacing w:line="240" w:lineRule="auto"/>
              <w:jc w:val="center"/>
              <w:rPr>
                <w:rFonts w:ascii="宋体" w:hAnsi="宋体"/>
                <w:sz w:val="21"/>
                <w:szCs w:val="21"/>
              </w:rPr>
            </w:pPr>
          </w:p>
        </w:tc>
        <w:tc>
          <w:tcPr>
            <w:tcW w:w="1601" w:type="dxa"/>
            <w:vAlign w:val="center"/>
          </w:tcPr>
          <w:p>
            <w:pPr>
              <w:snapToGrid w:val="0"/>
              <w:spacing w:line="240" w:lineRule="auto"/>
              <w:jc w:val="center"/>
              <w:rPr>
                <w:rFonts w:ascii="宋体" w:hAnsi="宋体"/>
                <w:sz w:val="21"/>
                <w:szCs w:val="21"/>
              </w:rPr>
            </w:pPr>
          </w:p>
        </w:tc>
        <w:tc>
          <w:tcPr>
            <w:tcW w:w="1610" w:type="dxa"/>
            <w:vAlign w:val="center"/>
          </w:tcPr>
          <w:p>
            <w:pPr>
              <w:snapToGrid w:val="0"/>
              <w:spacing w:line="240" w:lineRule="auto"/>
              <w:jc w:val="center"/>
              <w:rPr>
                <w:rFonts w:ascii="宋体" w:hAnsi="宋体"/>
                <w:sz w:val="21"/>
                <w:szCs w:val="21"/>
              </w:rPr>
            </w:pPr>
          </w:p>
        </w:tc>
        <w:tc>
          <w:tcPr>
            <w:tcW w:w="1594"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0" w:type="dxa"/>
            <w:vAlign w:val="center"/>
          </w:tcPr>
          <w:p>
            <w:pPr>
              <w:snapToGrid w:val="0"/>
              <w:spacing w:line="240" w:lineRule="auto"/>
              <w:jc w:val="center"/>
              <w:rPr>
                <w:rFonts w:ascii="宋体" w:hAnsi="宋体"/>
                <w:sz w:val="21"/>
                <w:szCs w:val="21"/>
              </w:rPr>
            </w:pPr>
          </w:p>
        </w:tc>
        <w:tc>
          <w:tcPr>
            <w:tcW w:w="1903" w:type="dxa"/>
            <w:vAlign w:val="center"/>
          </w:tcPr>
          <w:p>
            <w:pPr>
              <w:snapToGrid w:val="0"/>
              <w:spacing w:line="240" w:lineRule="auto"/>
              <w:jc w:val="center"/>
              <w:rPr>
                <w:rFonts w:ascii="宋体" w:hAnsi="宋体"/>
                <w:sz w:val="21"/>
                <w:szCs w:val="21"/>
              </w:rPr>
            </w:pPr>
          </w:p>
        </w:tc>
        <w:tc>
          <w:tcPr>
            <w:tcW w:w="1911" w:type="dxa"/>
            <w:vAlign w:val="center"/>
          </w:tcPr>
          <w:p>
            <w:pPr>
              <w:snapToGrid w:val="0"/>
              <w:spacing w:line="240" w:lineRule="auto"/>
              <w:jc w:val="center"/>
              <w:rPr>
                <w:rFonts w:ascii="宋体" w:hAnsi="宋体"/>
                <w:sz w:val="21"/>
                <w:szCs w:val="21"/>
              </w:rPr>
            </w:pPr>
          </w:p>
        </w:tc>
        <w:tc>
          <w:tcPr>
            <w:tcW w:w="1601" w:type="dxa"/>
            <w:vAlign w:val="center"/>
          </w:tcPr>
          <w:p>
            <w:pPr>
              <w:snapToGrid w:val="0"/>
              <w:spacing w:line="240" w:lineRule="auto"/>
              <w:jc w:val="center"/>
              <w:rPr>
                <w:rFonts w:ascii="宋体" w:hAnsi="宋体"/>
                <w:sz w:val="21"/>
                <w:szCs w:val="21"/>
              </w:rPr>
            </w:pPr>
          </w:p>
        </w:tc>
        <w:tc>
          <w:tcPr>
            <w:tcW w:w="1610" w:type="dxa"/>
            <w:vAlign w:val="center"/>
          </w:tcPr>
          <w:p>
            <w:pPr>
              <w:snapToGrid w:val="0"/>
              <w:spacing w:line="240" w:lineRule="auto"/>
              <w:jc w:val="center"/>
              <w:rPr>
                <w:rFonts w:ascii="宋体" w:hAnsi="宋体"/>
                <w:sz w:val="21"/>
                <w:szCs w:val="21"/>
              </w:rPr>
            </w:pPr>
          </w:p>
        </w:tc>
        <w:tc>
          <w:tcPr>
            <w:tcW w:w="1594"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0" w:type="dxa"/>
            <w:vAlign w:val="center"/>
          </w:tcPr>
          <w:p>
            <w:pPr>
              <w:snapToGrid w:val="0"/>
              <w:spacing w:line="240" w:lineRule="auto"/>
              <w:jc w:val="center"/>
              <w:rPr>
                <w:rFonts w:ascii="宋体" w:hAnsi="宋体"/>
                <w:sz w:val="21"/>
                <w:szCs w:val="21"/>
              </w:rPr>
            </w:pPr>
          </w:p>
        </w:tc>
        <w:tc>
          <w:tcPr>
            <w:tcW w:w="1903" w:type="dxa"/>
            <w:vAlign w:val="center"/>
          </w:tcPr>
          <w:p>
            <w:pPr>
              <w:snapToGrid w:val="0"/>
              <w:spacing w:line="240" w:lineRule="auto"/>
              <w:jc w:val="center"/>
              <w:rPr>
                <w:rFonts w:ascii="宋体" w:hAnsi="宋体"/>
                <w:sz w:val="21"/>
                <w:szCs w:val="21"/>
              </w:rPr>
            </w:pPr>
          </w:p>
        </w:tc>
        <w:tc>
          <w:tcPr>
            <w:tcW w:w="1911" w:type="dxa"/>
            <w:vAlign w:val="center"/>
          </w:tcPr>
          <w:p>
            <w:pPr>
              <w:snapToGrid w:val="0"/>
              <w:spacing w:line="240" w:lineRule="auto"/>
              <w:jc w:val="center"/>
              <w:rPr>
                <w:rFonts w:ascii="宋体" w:hAnsi="宋体"/>
                <w:sz w:val="21"/>
                <w:szCs w:val="21"/>
              </w:rPr>
            </w:pPr>
          </w:p>
        </w:tc>
        <w:tc>
          <w:tcPr>
            <w:tcW w:w="1601" w:type="dxa"/>
            <w:vAlign w:val="center"/>
          </w:tcPr>
          <w:p>
            <w:pPr>
              <w:snapToGrid w:val="0"/>
              <w:spacing w:line="240" w:lineRule="auto"/>
              <w:jc w:val="center"/>
              <w:rPr>
                <w:rFonts w:ascii="宋体" w:hAnsi="宋体"/>
                <w:sz w:val="21"/>
                <w:szCs w:val="21"/>
              </w:rPr>
            </w:pPr>
          </w:p>
        </w:tc>
        <w:tc>
          <w:tcPr>
            <w:tcW w:w="1610" w:type="dxa"/>
            <w:vAlign w:val="center"/>
          </w:tcPr>
          <w:p>
            <w:pPr>
              <w:snapToGrid w:val="0"/>
              <w:spacing w:line="240" w:lineRule="auto"/>
              <w:jc w:val="center"/>
              <w:rPr>
                <w:rFonts w:ascii="宋体" w:hAnsi="宋体"/>
                <w:sz w:val="21"/>
                <w:szCs w:val="21"/>
              </w:rPr>
            </w:pPr>
          </w:p>
        </w:tc>
        <w:tc>
          <w:tcPr>
            <w:tcW w:w="1594" w:type="dxa"/>
            <w:vAlign w:val="center"/>
          </w:tcPr>
          <w:p>
            <w:pPr>
              <w:snapToGrid w:val="0"/>
              <w:spacing w:line="240" w:lineRule="auto"/>
              <w:jc w:val="center"/>
              <w:rPr>
                <w:rFonts w:ascii="宋体" w:hAnsi="宋体"/>
                <w:sz w:val="21"/>
                <w:szCs w:val="21"/>
              </w:rPr>
            </w:pPr>
          </w:p>
        </w:tc>
      </w:tr>
    </w:tbl>
    <w:p>
      <w:pPr>
        <w:snapToGrid w:val="0"/>
        <w:spacing w:line="440" w:lineRule="exact"/>
        <w:rPr>
          <w:rFonts w:ascii="宋体" w:hAnsi="宋体"/>
          <w:b/>
          <w:spacing w:val="10"/>
          <w:sz w:val="21"/>
          <w:szCs w:val="21"/>
        </w:rPr>
      </w:pPr>
      <w:r>
        <w:rPr>
          <w:rFonts w:hint="eastAsia" w:ascii="宋体" w:hAnsi="宋体"/>
          <w:b/>
          <w:sz w:val="21"/>
          <w:szCs w:val="21"/>
        </w:rPr>
        <w:t>说明：1、</w:t>
      </w:r>
      <w:r>
        <w:rPr>
          <w:rFonts w:hint="eastAsia" w:ascii="宋体" w:hAnsi="宋体"/>
          <w:b/>
          <w:spacing w:val="10"/>
          <w:sz w:val="21"/>
          <w:szCs w:val="21"/>
        </w:rPr>
        <w:t>近五年是指磋商截止时间往前推算五年。</w:t>
      </w:r>
    </w:p>
    <w:p>
      <w:pPr>
        <w:snapToGrid w:val="0"/>
        <w:spacing w:line="440" w:lineRule="exact"/>
        <w:rPr>
          <w:rFonts w:ascii="宋体" w:hAnsi="宋体"/>
          <w:b/>
          <w:sz w:val="21"/>
          <w:szCs w:val="21"/>
        </w:rPr>
      </w:pPr>
      <w:r>
        <w:rPr>
          <w:rFonts w:hint="eastAsia" w:ascii="宋体" w:hAnsi="宋体"/>
          <w:b/>
          <w:spacing w:val="10"/>
          <w:sz w:val="21"/>
          <w:szCs w:val="21"/>
        </w:rPr>
        <w:t>2、</w:t>
      </w:r>
      <w:r>
        <w:rPr>
          <w:rFonts w:hint="eastAsia" w:ascii="宋体" w:hAnsi="宋体"/>
          <w:b/>
          <w:sz w:val="21"/>
          <w:szCs w:val="21"/>
        </w:rPr>
        <w:t>后附合同复印件。</w:t>
      </w:r>
    </w:p>
    <w:p>
      <w:pPr>
        <w:snapToGrid w:val="0"/>
        <w:spacing w:line="440" w:lineRule="exact"/>
        <w:rPr>
          <w:rFonts w:ascii="宋体" w:hAnsi="宋体"/>
          <w:b/>
          <w:sz w:val="21"/>
          <w:szCs w:val="21"/>
        </w:rPr>
      </w:pPr>
    </w:p>
    <w:p>
      <w:pPr>
        <w:snapToGrid w:val="0"/>
        <w:spacing w:line="440" w:lineRule="exact"/>
        <w:rPr>
          <w:rFonts w:ascii="宋体" w:hAnsi="宋体"/>
          <w:b/>
          <w:sz w:val="21"/>
          <w:szCs w:val="21"/>
        </w:rPr>
      </w:pPr>
    </w:p>
    <w:p>
      <w:pPr>
        <w:snapToGrid w:val="0"/>
        <w:spacing w:line="440" w:lineRule="exact"/>
        <w:rPr>
          <w:rFonts w:ascii="宋体" w:hAnsi="宋体"/>
          <w:b/>
          <w:sz w:val="21"/>
          <w:szCs w:val="21"/>
        </w:rPr>
      </w:pPr>
    </w:p>
    <w:p>
      <w:pPr>
        <w:snapToGrid w:val="0"/>
        <w:spacing w:line="360" w:lineRule="auto"/>
        <w:rPr>
          <w:rFonts w:ascii="宋体" w:hAnsi="宋体"/>
          <w:sz w:val="21"/>
          <w:szCs w:val="21"/>
          <w:u w:val="single"/>
        </w:rPr>
      </w:pPr>
      <w:r>
        <w:rPr>
          <w:rFonts w:ascii="宋体" w:hAnsi="宋体"/>
          <w:sz w:val="21"/>
          <w:szCs w:val="21"/>
        </w:rPr>
        <w:t>供应商（公章）：</w:t>
      </w:r>
    </w:p>
    <w:p>
      <w:pPr>
        <w:snapToGrid w:val="0"/>
        <w:spacing w:line="360" w:lineRule="auto"/>
        <w:rPr>
          <w:rFonts w:ascii="宋体" w:hAnsi="宋体"/>
          <w:sz w:val="21"/>
          <w:szCs w:val="21"/>
        </w:rPr>
      </w:pPr>
      <w:r>
        <w:rPr>
          <w:rFonts w:ascii="宋体" w:hAnsi="宋体"/>
          <w:sz w:val="21"/>
          <w:szCs w:val="21"/>
        </w:rPr>
        <w:t>供应商代表</w:t>
      </w:r>
      <w:r>
        <w:rPr>
          <w:rFonts w:hint="eastAsia" w:ascii="宋体" w:hAnsi="宋体"/>
          <w:sz w:val="21"/>
          <w:szCs w:val="21"/>
        </w:rPr>
        <w:t>（</w:t>
      </w:r>
      <w:r>
        <w:rPr>
          <w:rFonts w:ascii="宋体" w:hAnsi="宋体"/>
          <w:sz w:val="21"/>
          <w:szCs w:val="21"/>
        </w:rPr>
        <w:t>签字</w:t>
      </w:r>
      <w:r>
        <w:rPr>
          <w:rFonts w:hint="eastAsia" w:ascii="宋体" w:hAnsi="宋体"/>
          <w:sz w:val="21"/>
          <w:szCs w:val="21"/>
        </w:rPr>
        <w:t>）</w:t>
      </w:r>
      <w:r>
        <w:rPr>
          <w:rFonts w:ascii="宋体" w:hAnsi="宋体"/>
          <w:sz w:val="21"/>
          <w:szCs w:val="21"/>
        </w:rPr>
        <w:t>：</w:t>
      </w:r>
    </w:p>
    <w:p>
      <w:pPr>
        <w:snapToGrid w:val="0"/>
        <w:spacing w:line="360" w:lineRule="auto"/>
        <w:rPr>
          <w:rFonts w:ascii="宋体" w:hAnsi="宋体"/>
          <w:sz w:val="21"/>
          <w:szCs w:val="21"/>
        </w:rPr>
      </w:pPr>
      <w:r>
        <w:rPr>
          <w:rFonts w:hint="eastAsia" w:ascii="宋体" w:hAnsi="宋体"/>
          <w:sz w:val="21"/>
          <w:szCs w:val="21"/>
        </w:rPr>
        <w:t>日期</w:t>
      </w:r>
      <w:r>
        <w:rPr>
          <w:rFonts w:ascii="宋体" w:hAnsi="宋体"/>
          <w:sz w:val="21"/>
          <w:szCs w:val="21"/>
        </w:rPr>
        <w:t>：</w:t>
      </w:r>
    </w:p>
    <w:p>
      <w:pPr>
        <w:pStyle w:val="4"/>
      </w:pPr>
      <w:r>
        <w:rPr>
          <w:sz w:val="21"/>
          <w:szCs w:val="21"/>
        </w:rPr>
        <w:br w:type="page"/>
      </w:r>
      <w:r>
        <w:rPr>
          <w:rFonts w:hint="eastAsia"/>
          <w:sz w:val="21"/>
          <w:szCs w:val="21"/>
        </w:rPr>
        <w:t>七</w:t>
      </w:r>
      <w:r>
        <w:rPr>
          <w:rFonts w:hint="eastAsia"/>
        </w:rPr>
        <w:t>、商务条款响应偏离表</w:t>
      </w:r>
    </w:p>
    <w:p>
      <w:pPr>
        <w:snapToGrid w:val="0"/>
        <w:spacing w:line="460" w:lineRule="exact"/>
        <w:rPr>
          <w:rFonts w:ascii="宋体" w:hAnsi="宋体"/>
          <w:sz w:val="21"/>
          <w:szCs w:val="21"/>
        </w:rPr>
      </w:pPr>
      <w:r>
        <w:rPr>
          <w:rFonts w:hint="eastAsia" w:ascii="宋体" w:hAnsi="宋体"/>
          <w:sz w:val="21"/>
          <w:szCs w:val="21"/>
        </w:rPr>
        <w:t>项目名称：</w:t>
      </w:r>
    </w:p>
    <w:p>
      <w:pPr>
        <w:snapToGrid w:val="0"/>
        <w:spacing w:line="460" w:lineRule="exact"/>
        <w:rPr>
          <w:rFonts w:ascii="宋体" w:hAnsi="宋体"/>
          <w:sz w:val="21"/>
          <w:szCs w:val="21"/>
        </w:rPr>
      </w:pPr>
      <w:r>
        <w:rPr>
          <w:rFonts w:hint="eastAsia" w:ascii="宋体" w:hAnsi="宋体"/>
          <w:sz w:val="21"/>
          <w:szCs w:val="21"/>
        </w:rPr>
        <w:t>项目编号：</w:t>
      </w:r>
      <w:r>
        <w:rPr>
          <w:rFonts w:ascii="宋体" w:hAnsi="宋体"/>
          <w:sz w:val="21"/>
          <w:szCs w:val="21"/>
        </w:rPr>
        <w:t xml:space="preserve"> </w:t>
      </w:r>
    </w:p>
    <w:tbl>
      <w:tblPr>
        <w:tblStyle w:val="34"/>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2626"/>
        <w:gridCol w:w="2771"/>
        <w:gridCol w:w="1750"/>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序号</w:t>
            </w:r>
          </w:p>
        </w:tc>
        <w:tc>
          <w:tcPr>
            <w:tcW w:w="2626"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磋商文件要求部分</w:t>
            </w:r>
          </w:p>
        </w:tc>
        <w:tc>
          <w:tcPr>
            <w:tcW w:w="2771"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响应文件响应部分</w:t>
            </w:r>
          </w:p>
        </w:tc>
        <w:tc>
          <w:tcPr>
            <w:tcW w:w="1750"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偏离说明</w:t>
            </w:r>
          </w:p>
        </w:tc>
        <w:tc>
          <w:tcPr>
            <w:tcW w:w="1476"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41" w:type="dxa"/>
            <w:vAlign w:val="center"/>
          </w:tcPr>
          <w:p>
            <w:pPr>
              <w:snapToGrid w:val="0"/>
              <w:spacing w:line="240" w:lineRule="auto"/>
              <w:jc w:val="center"/>
              <w:rPr>
                <w:rFonts w:ascii="宋体" w:hAnsi="宋体"/>
                <w:sz w:val="21"/>
                <w:szCs w:val="21"/>
              </w:rPr>
            </w:pPr>
          </w:p>
        </w:tc>
        <w:tc>
          <w:tcPr>
            <w:tcW w:w="2626" w:type="dxa"/>
            <w:vAlign w:val="center"/>
          </w:tcPr>
          <w:p>
            <w:pPr>
              <w:snapToGrid w:val="0"/>
              <w:spacing w:line="240" w:lineRule="auto"/>
              <w:jc w:val="center"/>
              <w:rPr>
                <w:rFonts w:ascii="宋体" w:hAnsi="宋体"/>
                <w:sz w:val="21"/>
                <w:szCs w:val="21"/>
              </w:rPr>
            </w:pPr>
          </w:p>
        </w:tc>
        <w:tc>
          <w:tcPr>
            <w:tcW w:w="2771" w:type="dxa"/>
            <w:vAlign w:val="center"/>
          </w:tcPr>
          <w:p>
            <w:pPr>
              <w:snapToGrid w:val="0"/>
              <w:spacing w:line="240" w:lineRule="auto"/>
              <w:jc w:val="center"/>
              <w:rPr>
                <w:rFonts w:ascii="宋体" w:hAnsi="宋体"/>
                <w:sz w:val="21"/>
                <w:szCs w:val="21"/>
              </w:rPr>
            </w:pPr>
          </w:p>
        </w:tc>
        <w:tc>
          <w:tcPr>
            <w:tcW w:w="1750" w:type="dxa"/>
            <w:vAlign w:val="center"/>
          </w:tcPr>
          <w:p>
            <w:pPr>
              <w:snapToGrid w:val="0"/>
              <w:spacing w:line="240" w:lineRule="auto"/>
              <w:jc w:val="center"/>
              <w:rPr>
                <w:rFonts w:ascii="宋体" w:hAnsi="宋体"/>
                <w:sz w:val="21"/>
                <w:szCs w:val="21"/>
              </w:rPr>
            </w:pPr>
          </w:p>
        </w:tc>
        <w:tc>
          <w:tcPr>
            <w:tcW w:w="1476" w:type="dxa"/>
            <w:vAlign w:val="center"/>
          </w:tcPr>
          <w:p>
            <w:pPr>
              <w:snapToGrid w:val="0"/>
              <w:spacing w:line="240" w:lineRule="auto"/>
              <w:jc w:val="center"/>
              <w:rPr>
                <w:rFonts w:ascii="宋体" w:hAnsi="宋体"/>
                <w:sz w:val="21"/>
                <w:szCs w:val="21"/>
              </w:rPr>
            </w:pPr>
          </w:p>
        </w:tc>
      </w:tr>
    </w:tbl>
    <w:p>
      <w:pPr>
        <w:spacing w:line="460" w:lineRule="exact"/>
        <w:rPr>
          <w:rFonts w:ascii="宋体" w:hAnsi="宋体"/>
          <w:sz w:val="21"/>
          <w:szCs w:val="21"/>
        </w:rPr>
      </w:pPr>
      <w:r>
        <w:rPr>
          <w:rFonts w:hint="eastAsia" w:ascii="宋体" w:hAnsi="宋体"/>
          <w:sz w:val="21"/>
          <w:szCs w:val="21"/>
        </w:rPr>
        <w:t>说明：1、</w:t>
      </w:r>
      <w:r>
        <w:rPr>
          <w:rFonts w:hint="eastAsia" w:ascii="宋体" w:hAnsi="宋体" w:cs="宋体"/>
          <w:sz w:val="21"/>
          <w:szCs w:val="21"/>
        </w:rPr>
        <w:t>供应商</w:t>
      </w:r>
      <w:r>
        <w:rPr>
          <w:rFonts w:hint="eastAsia" w:ascii="宋体" w:hAnsi="宋体"/>
          <w:sz w:val="21"/>
          <w:szCs w:val="21"/>
        </w:rPr>
        <w:t>应对照磋商文件“第二章供应商需知前附表、合同通用条款前附表”中合同通用条款前附表的内容逐条说明所提供的货物或（服务）对磋商文件的商务要求的响应情况，并申明与商务要求条文的偏离。</w:t>
      </w:r>
    </w:p>
    <w:p>
      <w:pPr>
        <w:spacing w:line="460" w:lineRule="exact"/>
        <w:rPr>
          <w:rFonts w:ascii="宋体" w:hAnsi="宋体"/>
          <w:sz w:val="21"/>
          <w:szCs w:val="21"/>
        </w:rPr>
      </w:pPr>
      <w:r>
        <w:rPr>
          <w:rFonts w:hint="eastAsia" w:ascii="宋体" w:hAnsi="宋体"/>
          <w:sz w:val="21"/>
          <w:szCs w:val="21"/>
        </w:rPr>
        <w:t>2、供应商应以采购货物和服务商务要求为基准，一致应填写“无偏离”，优于应填写“正偏离”，不满足采购要求应填写“负偏离”。</w:t>
      </w:r>
    </w:p>
    <w:p>
      <w:pPr>
        <w:spacing w:line="460" w:lineRule="exact"/>
        <w:rPr>
          <w:rFonts w:ascii="宋体" w:hAnsi="宋体"/>
          <w:sz w:val="21"/>
          <w:szCs w:val="21"/>
        </w:rPr>
      </w:pPr>
      <w:r>
        <w:rPr>
          <w:rFonts w:hint="eastAsia" w:ascii="宋体" w:hAnsi="宋体"/>
          <w:sz w:val="21"/>
          <w:szCs w:val="21"/>
        </w:rPr>
        <w:t>3、未按如上述要求填写或商务条款存在负偏离将作</w:t>
      </w:r>
      <w:r>
        <w:rPr>
          <w:rFonts w:hint="eastAsia" w:ascii="宋体" w:hAnsi="宋体"/>
          <w:b/>
          <w:sz w:val="21"/>
          <w:szCs w:val="21"/>
        </w:rPr>
        <w:t>无效响应处理。</w:t>
      </w:r>
    </w:p>
    <w:p>
      <w:pPr>
        <w:spacing w:line="460" w:lineRule="exact"/>
        <w:rPr>
          <w:rFonts w:ascii="宋体" w:hAnsi="宋体"/>
          <w:sz w:val="21"/>
          <w:szCs w:val="21"/>
        </w:rPr>
      </w:pPr>
    </w:p>
    <w:p>
      <w:pPr>
        <w:spacing w:line="460" w:lineRule="exact"/>
        <w:rPr>
          <w:rFonts w:ascii="宋体" w:hAnsi="宋体"/>
          <w:sz w:val="21"/>
          <w:szCs w:val="21"/>
        </w:rPr>
      </w:pPr>
    </w:p>
    <w:p>
      <w:pPr>
        <w:snapToGrid w:val="0"/>
        <w:spacing w:line="360" w:lineRule="auto"/>
        <w:rPr>
          <w:rFonts w:ascii="宋体" w:hAnsi="宋体"/>
          <w:sz w:val="21"/>
          <w:szCs w:val="21"/>
          <w:u w:val="single"/>
        </w:rPr>
      </w:pPr>
      <w:r>
        <w:rPr>
          <w:rFonts w:ascii="宋体" w:hAnsi="宋体"/>
          <w:sz w:val="21"/>
          <w:szCs w:val="21"/>
        </w:rPr>
        <w:t>供应商（公章）：</w:t>
      </w:r>
    </w:p>
    <w:p>
      <w:pPr>
        <w:snapToGrid w:val="0"/>
        <w:spacing w:line="360" w:lineRule="auto"/>
        <w:rPr>
          <w:rFonts w:ascii="宋体" w:hAnsi="宋体"/>
          <w:sz w:val="21"/>
          <w:szCs w:val="21"/>
        </w:rPr>
      </w:pPr>
      <w:r>
        <w:rPr>
          <w:rFonts w:ascii="宋体" w:hAnsi="宋体"/>
          <w:sz w:val="21"/>
          <w:szCs w:val="21"/>
        </w:rPr>
        <w:t>供应商代表</w:t>
      </w:r>
      <w:r>
        <w:rPr>
          <w:rFonts w:hint="eastAsia" w:ascii="宋体" w:hAnsi="宋体"/>
          <w:sz w:val="21"/>
          <w:szCs w:val="21"/>
        </w:rPr>
        <w:t>（</w:t>
      </w:r>
      <w:r>
        <w:rPr>
          <w:rFonts w:ascii="宋体" w:hAnsi="宋体"/>
          <w:sz w:val="21"/>
          <w:szCs w:val="21"/>
        </w:rPr>
        <w:t>签字</w:t>
      </w:r>
      <w:r>
        <w:rPr>
          <w:rFonts w:hint="eastAsia" w:ascii="宋体" w:hAnsi="宋体"/>
          <w:sz w:val="21"/>
          <w:szCs w:val="21"/>
        </w:rPr>
        <w:t>）</w:t>
      </w:r>
      <w:r>
        <w:rPr>
          <w:rFonts w:ascii="宋体" w:hAnsi="宋体"/>
          <w:sz w:val="21"/>
          <w:szCs w:val="21"/>
        </w:rPr>
        <w:t>：</w:t>
      </w:r>
    </w:p>
    <w:p>
      <w:pPr>
        <w:snapToGrid w:val="0"/>
        <w:spacing w:line="360" w:lineRule="auto"/>
        <w:rPr>
          <w:rFonts w:ascii="宋体" w:hAnsi="宋体"/>
          <w:sz w:val="21"/>
          <w:szCs w:val="21"/>
        </w:rPr>
      </w:pPr>
      <w:r>
        <w:rPr>
          <w:rFonts w:hint="eastAsia" w:ascii="宋体" w:hAnsi="宋体"/>
          <w:sz w:val="21"/>
          <w:szCs w:val="21"/>
        </w:rPr>
        <w:t>日期</w:t>
      </w:r>
      <w:r>
        <w:rPr>
          <w:rFonts w:ascii="宋体" w:hAnsi="宋体"/>
          <w:sz w:val="21"/>
          <w:szCs w:val="21"/>
        </w:rPr>
        <w:t>：</w:t>
      </w:r>
    </w:p>
    <w:p>
      <w:pPr>
        <w:pStyle w:val="4"/>
      </w:pPr>
      <w:r>
        <w:rPr>
          <w:rFonts w:ascii="宋体" w:hAnsi="宋体"/>
          <w:sz w:val="21"/>
          <w:szCs w:val="21"/>
        </w:rPr>
        <w:br w:type="page"/>
      </w:r>
      <w:r>
        <w:rPr>
          <w:rFonts w:hint="eastAsia"/>
        </w:rPr>
        <w:t>第二部分、技术部分</w:t>
      </w:r>
    </w:p>
    <w:p>
      <w:pPr>
        <w:pStyle w:val="4"/>
      </w:pPr>
      <w:r>
        <w:rPr>
          <w:rFonts w:hint="eastAsia"/>
        </w:rPr>
        <w:t>一、货物介绍</w:t>
      </w:r>
    </w:p>
    <w:p>
      <w:pPr>
        <w:spacing w:line="460" w:lineRule="exact"/>
        <w:rPr>
          <w:rFonts w:ascii="宋体" w:hAnsi="宋体"/>
          <w:sz w:val="21"/>
          <w:szCs w:val="21"/>
        </w:rPr>
      </w:pPr>
      <w:r>
        <w:rPr>
          <w:rFonts w:hint="eastAsia" w:ascii="宋体" w:hAnsi="宋体"/>
          <w:sz w:val="21"/>
          <w:szCs w:val="21"/>
        </w:rPr>
        <w:t>包含但不限于以下内容：</w:t>
      </w:r>
    </w:p>
    <w:p>
      <w:pPr>
        <w:spacing w:line="460" w:lineRule="exact"/>
        <w:rPr>
          <w:rFonts w:ascii="宋体" w:hAnsi="宋体"/>
          <w:sz w:val="21"/>
          <w:szCs w:val="21"/>
        </w:rPr>
      </w:pPr>
      <w:r>
        <w:rPr>
          <w:rFonts w:hint="eastAsia" w:ascii="宋体" w:hAnsi="宋体"/>
          <w:sz w:val="21"/>
          <w:szCs w:val="21"/>
        </w:rPr>
        <w:t>1、产品名称、制造商名称、品牌/规格型号、数量、技术性能、特点。</w:t>
      </w:r>
    </w:p>
    <w:p>
      <w:pPr>
        <w:spacing w:line="460" w:lineRule="exact"/>
        <w:rPr>
          <w:rFonts w:ascii="宋体" w:hAnsi="宋体"/>
          <w:sz w:val="21"/>
          <w:szCs w:val="21"/>
        </w:rPr>
      </w:pPr>
      <w:r>
        <w:rPr>
          <w:rFonts w:hint="eastAsia" w:ascii="宋体" w:hAnsi="宋体"/>
          <w:sz w:val="21"/>
          <w:szCs w:val="21"/>
        </w:rPr>
        <w:t>2、产品制造商出具的产品中文说明书、彩页、照片、使用保养说明书、鉴定证书或检测报告等技术资料。</w:t>
      </w:r>
    </w:p>
    <w:p>
      <w:pPr>
        <w:pStyle w:val="4"/>
      </w:pPr>
      <w:r>
        <w:rPr>
          <w:rFonts w:hint="eastAsia"/>
        </w:rPr>
        <w:t>二、技术、服务文件</w:t>
      </w:r>
    </w:p>
    <w:p>
      <w:pPr>
        <w:spacing w:line="460" w:lineRule="exact"/>
        <w:rPr>
          <w:rFonts w:ascii="宋体" w:hAnsi="宋体"/>
          <w:sz w:val="21"/>
          <w:szCs w:val="21"/>
        </w:rPr>
      </w:pPr>
      <w:r>
        <w:rPr>
          <w:rFonts w:hint="eastAsia" w:ascii="宋体" w:hAnsi="宋体"/>
          <w:sz w:val="21"/>
          <w:szCs w:val="21"/>
        </w:rPr>
        <w:t>包含但不限于以下内容：</w:t>
      </w:r>
    </w:p>
    <w:p>
      <w:pPr>
        <w:numPr>
          <w:ilvl w:val="0"/>
          <w:numId w:val="26"/>
        </w:numPr>
        <w:spacing w:line="460" w:lineRule="exact"/>
        <w:rPr>
          <w:rFonts w:ascii="宋体" w:hAnsi="宋体"/>
          <w:sz w:val="21"/>
          <w:szCs w:val="21"/>
        </w:rPr>
      </w:pPr>
      <w:r>
        <w:rPr>
          <w:rFonts w:hint="eastAsia" w:ascii="宋体" w:hAnsi="宋体"/>
          <w:bCs/>
          <w:sz w:val="21"/>
          <w:szCs w:val="21"/>
        </w:rPr>
        <w:t>交货期的保证措施</w:t>
      </w:r>
      <w:r>
        <w:rPr>
          <w:rFonts w:hint="eastAsia" w:ascii="宋体" w:hAnsi="宋体"/>
          <w:sz w:val="21"/>
          <w:szCs w:val="21"/>
        </w:rPr>
        <w:t>。</w:t>
      </w:r>
    </w:p>
    <w:p>
      <w:pPr>
        <w:numPr>
          <w:ilvl w:val="0"/>
          <w:numId w:val="26"/>
        </w:numPr>
        <w:spacing w:line="460" w:lineRule="exact"/>
        <w:rPr>
          <w:rFonts w:ascii="宋体" w:hAnsi="宋体"/>
          <w:sz w:val="21"/>
          <w:szCs w:val="21"/>
        </w:rPr>
      </w:pPr>
      <w:r>
        <w:rPr>
          <w:rFonts w:hint="eastAsia" w:ascii="宋体" w:hAnsi="宋体"/>
          <w:sz w:val="21"/>
          <w:szCs w:val="21"/>
        </w:rPr>
        <w:t>质量保证措施</w:t>
      </w:r>
      <w:r>
        <w:rPr>
          <w:rFonts w:hint="eastAsia" w:ascii="宋体" w:hAnsi="宋体"/>
          <w:bCs/>
          <w:sz w:val="21"/>
          <w:szCs w:val="21"/>
        </w:rPr>
        <w:t>。</w:t>
      </w:r>
    </w:p>
    <w:p>
      <w:pPr>
        <w:numPr>
          <w:ilvl w:val="0"/>
          <w:numId w:val="26"/>
        </w:numPr>
        <w:spacing w:line="460" w:lineRule="exact"/>
        <w:rPr>
          <w:rFonts w:ascii="宋体" w:hAnsi="宋体"/>
          <w:bCs/>
          <w:sz w:val="21"/>
          <w:szCs w:val="21"/>
        </w:rPr>
      </w:pPr>
      <w:r>
        <w:rPr>
          <w:rFonts w:hint="eastAsia" w:ascii="宋体" w:hAnsi="宋体"/>
          <w:bCs/>
          <w:sz w:val="21"/>
          <w:szCs w:val="21"/>
        </w:rPr>
        <w:t>技术培训方案。</w:t>
      </w:r>
    </w:p>
    <w:p>
      <w:pPr>
        <w:numPr>
          <w:ilvl w:val="0"/>
          <w:numId w:val="26"/>
        </w:numPr>
        <w:spacing w:line="460" w:lineRule="exact"/>
        <w:rPr>
          <w:rFonts w:ascii="宋体" w:hAnsi="宋体"/>
          <w:bCs/>
          <w:sz w:val="21"/>
          <w:szCs w:val="21"/>
        </w:rPr>
      </w:pPr>
      <w:r>
        <w:rPr>
          <w:rFonts w:hint="eastAsia" w:ascii="宋体" w:hAnsi="宋体"/>
          <w:bCs/>
          <w:sz w:val="21"/>
          <w:szCs w:val="21"/>
        </w:rPr>
        <w:t>售后服务方案。</w:t>
      </w:r>
    </w:p>
    <w:p>
      <w:pPr>
        <w:numPr>
          <w:ilvl w:val="0"/>
          <w:numId w:val="26"/>
        </w:numPr>
        <w:spacing w:line="460" w:lineRule="exact"/>
        <w:rPr>
          <w:rFonts w:ascii="宋体" w:hAnsi="宋体"/>
          <w:bCs/>
          <w:sz w:val="21"/>
          <w:szCs w:val="21"/>
        </w:rPr>
      </w:pPr>
      <w:r>
        <w:rPr>
          <w:rFonts w:hint="eastAsia" w:ascii="宋体" w:hAnsi="宋体"/>
          <w:bCs/>
          <w:sz w:val="21"/>
          <w:szCs w:val="21"/>
        </w:rPr>
        <w:t>磋商文件要求供应商须提交的其它资料。</w:t>
      </w:r>
    </w:p>
    <w:p>
      <w:pPr>
        <w:numPr>
          <w:ilvl w:val="0"/>
          <w:numId w:val="26"/>
        </w:numPr>
        <w:spacing w:line="460" w:lineRule="exact"/>
        <w:rPr>
          <w:rFonts w:ascii="宋体" w:hAnsi="宋体"/>
          <w:sz w:val="21"/>
          <w:szCs w:val="21"/>
        </w:rPr>
      </w:pPr>
      <w:r>
        <w:rPr>
          <w:rFonts w:hint="eastAsia" w:ascii="宋体" w:hAnsi="宋体"/>
          <w:sz w:val="21"/>
          <w:szCs w:val="21"/>
        </w:rPr>
        <w:t>供应商认为需要提交的其他资料。</w:t>
      </w:r>
    </w:p>
    <w:p>
      <w:pPr>
        <w:pStyle w:val="4"/>
        <w:rPr>
          <w:rFonts w:ascii="宋体" w:hAnsi="宋体"/>
        </w:rPr>
      </w:pPr>
      <w:bookmarkStart w:id="63" w:name="_Toc515541931"/>
      <w:r>
        <w:rPr>
          <w:kern w:val="2"/>
        </w:rPr>
        <w:br w:type="page"/>
      </w:r>
      <w:r>
        <w:rPr>
          <w:rFonts w:hint="eastAsia"/>
          <w:kern w:val="2"/>
        </w:rPr>
        <w:t>三</w:t>
      </w:r>
      <w:r>
        <w:rPr>
          <w:rFonts w:hint="eastAsia" w:ascii="宋体" w:hAnsi="宋体"/>
        </w:rPr>
        <w:t>、技术规格响应偏离表</w:t>
      </w:r>
      <w:bookmarkEnd w:id="63"/>
    </w:p>
    <w:p>
      <w:pPr>
        <w:snapToGrid w:val="0"/>
        <w:spacing w:line="460" w:lineRule="exact"/>
        <w:rPr>
          <w:rFonts w:ascii="宋体" w:hAnsi="宋体"/>
          <w:sz w:val="21"/>
          <w:szCs w:val="21"/>
        </w:rPr>
      </w:pPr>
      <w:r>
        <w:rPr>
          <w:rFonts w:hint="eastAsia" w:ascii="宋体" w:hAnsi="宋体"/>
          <w:sz w:val="21"/>
          <w:szCs w:val="21"/>
        </w:rPr>
        <w:t>项目名称：</w:t>
      </w:r>
    </w:p>
    <w:p>
      <w:pPr>
        <w:snapToGrid w:val="0"/>
        <w:spacing w:line="460" w:lineRule="exact"/>
        <w:rPr>
          <w:rFonts w:ascii="宋体" w:hAnsi="宋体"/>
          <w:sz w:val="21"/>
          <w:szCs w:val="21"/>
        </w:rPr>
      </w:pPr>
      <w:r>
        <w:rPr>
          <w:rFonts w:hint="eastAsia" w:ascii="宋体" w:hAnsi="宋体"/>
          <w:sz w:val="21"/>
          <w:szCs w:val="21"/>
        </w:rPr>
        <w:t>项目编号：</w:t>
      </w:r>
      <w:r>
        <w:rPr>
          <w:rFonts w:ascii="宋体" w:hAnsi="宋体"/>
          <w:sz w:val="21"/>
          <w:szCs w:val="21"/>
        </w:rPr>
        <w:t xml:space="preserve"> </w:t>
      </w:r>
    </w:p>
    <w:tbl>
      <w:tblPr>
        <w:tblStyle w:val="34"/>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2693"/>
        <w:gridCol w:w="1701"/>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17"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序号</w:t>
            </w:r>
          </w:p>
        </w:tc>
        <w:tc>
          <w:tcPr>
            <w:tcW w:w="2552"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磋商文件要求部分</w:t>
            </w:r>
          </w:p>
        </w:tc>
        <w:tc>
          <w:tcPr>
            <w:tcW w:w="2693"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响应文件响应部分</w:t>
            </w:r>
          </w:p>
        </w:tc>
        <w:tc>
          <w:tcPr>
            <w:tcW w:w="1701"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偏离说明</w:t>
            </w:r>
          </w:p>
        </w:tc>
        <w:tc>
          <w:tcPr>
            <w:tcW w:w="1523" w:type="dxa"/>
            <w:vAlign w:val="center"/>
          </w:tcPr>
          <w:p>
            <w:pPr>
              <w:spacing w:line="240" w:lineRule="auto"/>
              <w:jc w:val="center"/>
              <w:rPr>
                <w:rFonts w:ascii="宋体" w:hAnsi="宋体" w:cs="仿宋_GB2312"/>
                <w:b/>
                <w:sz w:val="21"/>
                <w:szCs w:val="21"/>
              </w:rPr>
            </w:pPr>
            <w:r>
              <w:rPr>
                <w:rFonts w:hint="eastAsia" w:ascii="宋体" w:hAnsi="宋体" w:cs="仿宋_GB2312"/>
                <w:b/>
                <w:sz w:val="21"/>
                <w:szCs w:val="21"/>
              </w:rPr>
              <w:t>响应文件中对应的页码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snapToGrid w:val="0"/>
              <w:spacing w:line="240" w:lineRule="auto"/>
              <w:jc w:val="center"/>
              <w:rPr>
                <w:rFonts w:ascii="宋体" w:hAnsi="宋体"/>
                <w:sz w:val="21"/>
                <w:szCs w:val="21"/>
              </w:rPr>
            </w:pPr>
          </w:p>
        </w:tc>
        <w:tc>
          <w:tcPr>
            <w:tcW w:w="2552" w:type="dxa"/>
            <w:vAlign w:val="center"/>
          </w:tcPr>
          <w:p>
            <w:pPr>
              <w:snapToGrid w:val="0"/>
              <w:spacing w:line="240" w:lineRule="auto"/>
              <w:jc w:val="center"/>
              <w:rPr>
                <w:rFonts w:ascii="宋体" w:hAnsi="宋体"/>
                <w:sz w:val="21"/>
                <w:szCs w:val="21"/>
              </w:rPr>
            </w:pPr>
          </w:p>
        </w:tc>
        <w:tc>
          <w:tcPr>
            <w:tcW w:w="2693" w:type="dxa"/>
            <w:vAlign w:val="center"/>
          </w:tcPr>
          <w:p>
            <w:pPr>
              <w:snapToGrid w:val="0"/>
              <w:spacing w:line="240" w:lineRule="auto"/>
              <w:jc w:val="center"/>
              <w:rPr>
                <w:rFonts w:ascii="宋体" w:hAnsi="宋体"/>
                <w:sz w:val="21"/>
                <w:szCs w:val="21"/>
              </w:rPr>
            </w:pPr>
          </w:p>
        </w:tc>
        <w:tc>
          <w:tcPr>
            <w:tcW w:w="1701" w:type="dxa"/>
            <w:vAlign w:val="center"/>
          </w:tcPr>
          <w:p>
            <w:pPr>
              <w:snapToGrid w:val="0"/>
              <w:spacing w:line="240" w:lineRule="auto"/>
              <w:jc w:val="center"/>
              <w:rPr>
                <w:rFonts w:ascii="宋体" w:hAnsi="宋体"/>
                <w:sz w:val="21"/>
                <w:szCs w:val="21"/>
              </w:rPr>
            </w:pPr>
          </w:p>
        </w:tc>
        <w:tc>
          <w:tcPr>
            <w:tcW w:w="1523" w:type="dxa"/>
            <w:vAlign w:val="center"/>
          </w:tcPr>
          <w:p>
            <w:pPr>
              <w:snapToGrid w:val="0"/>
              <w:spacing w:line="240" w:lineRule="auto"/>
              <w:jc w:val="center"/>
              <w:rPr>
                <w:rFonts w:ascii="宋体" w:hAnsi="宋体"/>
                <w:sz w:val="21"/>
                <w:szCs w:val="21"/>
              </w:rPr>
            </w:pPr>
          </w:p>
        </w:tc>
      </w:tr>
    </w:tbl>
    <w:p>
      <w:pPr>
        <w:spacing w:line="460" w:lineRule="exact"/>
        <w:rPr>
          <w:rFonts w:ascii="宋体" w:hAnsi="宋体"/>
          <w:sz w:val="21"/>
          <w:szCs w:val="21"/>
        </w:rPr>
      </w:pPr>
      <w:r>
        <w:rPr>
          <w:rFonts w:hint="eastAsia" w:ascii="宋体" w:hAnsi="宋体"/>
          <w:sz w:val="21"/>
          <w:szCs w:val="21"/>
        </w:rPr>
        <w:t>说明：1、</w:t>
      </w:r>
      <w:r>
        <w:rPr>
          <w:rFonts w:hint="eastAsia" w:ascii="宋体" w:hAnsi="宋体" w:cs="宋体"/>
          <w:sz w:val="21"/>
          <w:szCs w:val="21"/>
        </w:rPr>
        <w:t>供应商</w:t>
      </w:r>
      <w:r>
        <w:rPr>
          <w:rFonts w:hint="eastAsia" w:ascii="宋体" w:hAnsi="宋体"/>
          <w:sz w:val="21"/>
          <w:szCs w:val="21"/>
        </w:rPr>
        <w:t>应对照磋商文件“第五章 磋商内容及要求”逐条说明所响应货物对磋商文件的技术要求的响应情况，并申明与技术要求条文的偏离。</w:t>
      </w:r>
    </w:p>
    <w:p>
      <w:pPr>
        <w:spacing w:line="460" w:lineRule="exact"/>
        <w:rPr>
          <w:rFonts w:ascii="宋体" w:hAnsi="宋体"/>
          <w:sz w:val="21"/>
          <w:szCs w:val="21"/>
        </w:rPr>
      </w:pPr>
      <w:r>
        <w:rPr>
          <w:rFonts w:hint="eastAsia" w:ascii="宋体" w:hAnsi="宋体"/>
          <w:sz w:val="21"/>
          <w:szCs w:val="21"/>
        </w:rPr>
        <w:t>2、供应商应以磋商货物技术参数及要求或软件功能为基准，一致应填写“无偏离”，优于应填写“正偏离”，不满足磋商要求应填写“负偏离”。对有具体技术要求的指标，供应商必须提供所响应货物的具体参数值，不允许直接复制参数要求。（</w:t>
      </w:r>
      <w:r>
        <w:rPr>
          <w:rFonts w:hint="eastAsia"/>
          <w:sz w:val="21"/>
          <w:szCs w:val="21"/>
        </w:rPr>
        <w:t>磋商货物技术参数及要求或软件功能</w:t>
      </w:r>
      <w:r>
        <w:rPr>
          <w:rFonts w:hint="eastAsia" w:ascii="宋体" w:hAnsi="宋体"/>
          <w:sz w:val="21"/>
          <w:szCs w:val="21"/>
        </w:rPr>
        <w:t>必须提供技术参数证明材料佐证，并标明在响</w:t>
      </w:r>
      <w:r>
        <w:rPr>
          <w:rFonts w:hint="eastAsia"/>
          <w:sz w:val="21"/>
          <w:szCs w:val="21"/>
        </w:rPr>
        <w:t>应文件对应的页码</w:t>
      </w:r>
      <w:r>
        <w:rPr>
          <w:rFonts w:hint="eastAsia" w:ascii="宋体" w:hAnsi="宋体"/>
          <w:sz w:val="21"/>
          <w:szCs w:val="21"/>
        </w:rPr>
        <w:t>。）</w:t>
      </w:r>
    </w:p>
    <w:p>
      <w:pPr>
        <w:spacing w:line="460" w:lineRule="exact"/>
        <w:rPr>
          <w:rFonts w:ascii="宋体" w:hAnsi="宋体"/>
          <w:sz w:val="21"/>
          <w:szCs w:val="21"/>
        </w:rPr>
      </w:pPr>
      <w:r>
        <w:rPr>
          <w:rFonts w:hint="eastAsia" w:ascii="宋体" w:hAnsi="宋体"/>
          <w:sz w:val="21"/>
          <w:szCs w:val="21"/>
        </w:rPr>
        <w:t>3、如未按上述要求填写将作</w:t>
      </w:r>
      <w:r>
        <w:rPr>
          <w:rFonts w:hint="eastAsia" w:ascii="宋体" w:hAnsi="宋体"/>
          <w:b/>
          <w:sz w:val="21"/>
          <w:szCs w:val="21"/>
        </w:rPr>
        <w:t>无效响应处理。</w:t>
      </w:r>
    </w:p>
    <w:p>
      <w:pPr>
        <w:spacing w:line="460" w:lineRule="exact"/>
        <w:rPr>
          <w:rFonts w:ascii="宋体" w:hAnsi="宋体"/>
          <w:sz w:val="21"/>
          <w:szCs w:val="21"/>
        </w:rPr>
      </w:pPr>
    </w:p>
    <w:p>
      <w:pPr>
        <w:spacing w:line="460" w:lineRule="exact"/>
        <w:rPr>
          <w:rFonts w:ascii="宋体" w:hAnsi="宋体"/>
          <w:sz w:val="21"/>
          <w:szCs w:val="21"/>
        </w:rPr>
      </w:pPr>
    </w:p>
    <w:p>
      <w:pPr>
        <w:snapToGrid w:val="0"/>
        <w:spacing w:line="360" w:lineRule="auto"/>
        <w:rPr>
          <w:rFonts w:ascii="宋体" w:hAnsi="宋体"/>
          <w:sz w:val="21"/>
          <w:szCs w:val="21"/>
          <w:u w:val="single"/>
        </w:rPr>
      </w:pPr>
      <w:r>
        <w:rPr>
          <w:rFonts w:ascii="宋体" w:hAnsi="宋体"/>
          <w:sz w:val="21"/>
          <w:szCs w:val="21"/>
        </w:rPr>
        <w:t>供应商（公章）：</w:t>
      </w:r>
    </w:p>
    <w:p>
      <w:pPr>
        <w:snapToGrid w:val="0"/>
        <w:spacing w:line="360" w:lineRule="auto"/>
        <w:rPr>
          <w:rFonts w:ascii="宋体" w:hAnsi="宋体"/>
          <w:sz w:val="21"/>
          <w:szCs w:val="21"/>
        </w:rPr>
      </w:pPr>
      <w:r>
        <w:rPr>
          <w:rFonts w:ascii="宋体" w:hAnsi="宋体"/>
          <w:sz w:val="21"/>
          <w:szCs w:val="21"/>
        </w:rPr>
        <w:t>供应商代表</w:t>
      </w:r>
      <w:r>
        <w:rPr>
          <w:rFonts w:hint="eastAsia" w:ascii="宋体" w:hAnsi="宋体"/>
          <w:sz w:val="21"/>
          <w:szCs w:val="21"/>
        </w:rPr>
        <w:t>（</w:t>
      </w:r>
      <w:r>
        <w:rPr>
          <w:rFonts w:ascii="宋体" w:hAnsi="宋体"/>
          <w:sz w:val="21"/>
          <w:szCs w:val="21"/>
        </w:rPr>
        <w:t>签字</w:t>
      </w:r>
      <w:r>
        <w:rPr>
          <w:rFonts w:hint="eastAsia" w:ascii="宋体" w:hAnsi="宋体"/>
          <w:sz w:val="21"/>
          <w:szCs w:val="21"/>
        </w:rPr>
        <w:t>）</w:t>
      </w:r>
      <w:r>
        <w:rPr>
          <w:rFonts w:ascii="宋体" w:hAnsi="宋体"/>
          <w:sz w:val="21"/>
          <w:szCs w:val="21"/>
        </w:rPr>
        <w:t>：</w:t>
      </w:r>
    </w:p>
    <w:p>
      <w:pPr>
        <w:snapToGrid w:val="0"/>
        <w:spacing w:line="360" w:lineRule="auto"/>
        <w:rPr>
          <w:rFonts w:ascii="宋体" w:hAnsi="宋体" w:cs="宋体"/>
          <w:sz w:val="21"/>
          <w:szCs w:val="21"/>
        </w:rPr>
      </w:pPr>
      <w:r>
        <w:rPr>
          <w:rFonts w:hint="eastAsia" w:ascii="宋体" w:hAnsi="宋体"/>
          <w:sz w:val="21"/>
          <w:szCs w:val="21"/>
        </w:rPr>
        <w:t>日期</w:t>
      </w:r>
      <w:r>
        <w:rPr>
          <w:rFonts w:ascii="宋体" w:hAnsi="宋体"/>
          <w:sz w:val="21"/>
          <w:szCs w:val="21"/>
        </w:rPr>
        <w:t>：</w:t>
      </w:r>
    </w:p>
    <w:p/>
    <w:sectPr>
      <w:pgSz w:w="11909" w:h="16834"/>
      <w:pgMar w:top="1440" w:right="1418" w:bottom="1440" w:left="1418" w:header="851"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Sun-ExtB">
    <w:panose1 w:val="02010609060101010101"/>
    <w:charset w:val="86"/>
    <w:family w:val="modern"/>
    <w:pitch w:val="default"/>
    <w:sig w:usb0="00000001" w:usb1="02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hakuyoxingshu7000"/>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pple Color Emoji">
    <w:altName w:val="Arial"/>
    <w:panose1 w:val="00000000000000000000"/>
    <w:charset w:val="00"/>
    <w:family w:val="auto"/>
    <w:pitch w:val="default"/>
    <w:sig w:usb0="00000000" w:usb1="00000000" w:usb2="14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20B0604020202020204"/>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1140"/>
        </w:tabs>
        <w:ind w:left="1140" w:hanging="720"/>
      </w:pPr>
      <w:rPr>
        <w:rFonts w:hint="default"/>
      </w:rPr>
    </w:lvl>
    <w:lvl w:ilvl="1" w:tentative="0">
      <w:start w:val="6"/>
      <w:numFmt w:val="japaneseCounting"/>
      <w:lvlText w:val="第%2部"/>
      <w:lvlJc w:val="left"/>
      <w:pPr>
        <w:tabs>
          <w:tab w:val="left" w:pos="1500"/>
        </w:tabs>
        <w:ind w:left="1500" w:hanging="1140"/>
      </w:pPr>
      <w:rPr>
        <w:rFonts w:hint="default"/>
      </w:rPr>
    </w:lvl>
    <w:lvl w:ilvl="2" w:tentative="0">
      <w:start w:val="1"/>
      <w:numFmt w:val="lowerRoman"/>
      <w:lvlText w:val="%3."/>
      <w:lvlJc w:val="right"/>
      <w:pPr>
        <w:tabs>
          <w:tab w:val="left" w:pos="1200"/>
        </w:tabs>
        <w:ind w:left="1200" w:hanging="420"/>
      </w:pPr>
      <w:rPr>
        <w:rFonts w:hint="eastAsia"/>
      </w:rPr>
    </w:lvl>
    <w:lvl w:ilvl="3" w:tentative="0">
      <w:start w:val="1"/>
      <w:numFmt w:val="decimal"/>
      <w:lvlText w:val="%4."/>
      <w:lvlJc w:val="left"/>
      <w:pPr>
        <w:tabs>
          <w:tab w:val="left" w:pos="1620"/>
        </w:tabs>
        <w:ind w:left="1620" w:hanging="420"/>
      </w:pPr>
      <w:rPr>
        <w:rFonts w:hint="eastAsia"/>
      </w:rPr>
    </w:lvl>
    <w:lvl w:ilvl="4" w:tentative="0">
      <w:start w:val="1"/>
      <w:numFmt w:val="lowerLetter"/>
      <w:lvlText w:val="%5)"/>
      <w:lvlJc w:val="left"/>
      <w:pPr>
        <w:tabs>
          <w:tab w:val="left" w:pos="2040"/>
        </w:tabs>
        <w:ind w:left="2040" w:hanging="420"/>
      </w:pPr>
      <w:rPr>
        <w:rFonts w:hint="eastAsia"/>
      </w:rPr>
    </w:lvl>
    <w:lvl w:ilvl="5" w:tentative="0">
      <w:start w:val="1"/>
      <w:numFmt w:val="lowerRoman"/>
      <w:lvlText w:val="%6."/>
      <w:lvlJc w:val="right"/>
      <w:pPr>
        <w:tabs>
          <w:tab w:val="left" w:pos="2460"/>
        </w:tabs>
        <w:ind w:left="2460" w:hanging="420"/>
      </w:pPr>
      <w:rPr>
        <w:rFonts w:hint="eastAsia"/>
      </w:rPr>
    </w:lvl>
    <w:lvl w:ilvl="6" w:tentative="0">
      <w:start w:val="1"/>
      <w:numFmt w:val="decimal"/>
      <w:lvlText w:val="%7."/>
      <w:lvlJc w:val="left"/>
      <w:pPr>
        <w:tabs>
          <w:tab w:val="left" w:pos="2880"/>
        </w:tabs>
        <w:ind w:left="2880" w:hanging="420"/>
      </w:pPr>
      <w:rPr>
        <w:rFonts w:hint="eastAsia"/>
      </w:rPr>
    </w:lvl>
    <w:lvl w:ilvl="7" w:tentative="0">
      <w:start w:val="1"/>
      <w:numFmt w:val="lowerLetter"/>
      <w:lvlText w:val="%8)"/>
      <w:lvlJc w:val="left"/>
      <w:pPr>
        <w:tabs>
          <w:tab w:val="left" w:pos="3300"/>
        </w:tabs>
        <w:ind w:left="3300" w:hanging="420"/>
      </w:pPr>
      <w:rPr>
        <w:rFonts w:hint="eastAsia"/>
      </w:rPr>
    </w:lvl>
    <w:lvl w:ilvl="8" w:tentative="0">
      <w:start w:val="1"/>
      <w:numFmt w:val="lowerRoman"/>
      <w:lvlText w:val="%9."/>
      <w:lvlJc w:val="right"/>
      <w:pPr>
        <w:tabs>
          <w:tab w:val="left" w:pos="3720"/>
        </w:tabs>
        <w:ind w:left="3720" w:hanging="420"/>
      </w:pPr>
      <w:rPr>
        <w:rFonts w:hint="eastAsia"/>
      </w:rPr>
    </w:lvl>
  </w:abstractNum>
  <w:abstractNum w:abstractNumId="1">
    <w:nsid w:val="00000009"/>
    <w:multiLevelType w:val="multilevel"/>
    <w:tmpl w:val="00000009"/>
    <w:lvl w:ilvl="0" w:tentative="0">
      <w:start w:val="1"/>
      <w:numFmt w:val="decimal"/>
      <w:lvlText w:val="（%1）"/>
      <w:lvlJc w:val="left"/>
      <w:pPr>
        <w:tabs>
          <w:tab w:val="left" w:pos="1202"/>
        </w:tabs>
        <w:ind w:left="1200" w:hanging="7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C"/>
    <w:multiLevelType w:val="multilevel"/>
    <w:tmpl w:val="0000000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F"/>
    <w:multiLevelType w:val="multilevel"/>
    <w:tmpl w:val="0000000F"/>
    <w:lvl w:ilvl="0" w:tentative="0">
      <w:start w:val="1"/>
      <w:numFmt w:val="decimal"/>
      <w:lvlText w:val="（%1）"/>
      <w:lvlJc w:val="left"/>
      <w:pPr>
        <w:tabs>
          <w:tab w:val="left" w:pos="1202"/>
        </w:tabs>
        <w:ind w:left="1200" w:hanging="720"/>
      </w:pPr>
      <w:rPr>
        <w:rFonts w:hint="default"/>
        <w:b w:val="0"/>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12"/>
    <w:multiLevelType w:val="multilevel"/>
    <w:tmpl w:val="00000012"/>
    <w:lvl w:ilvl="0" w:tentative="0">
      <w:start w:val="1"/>
      <w:numFmt w:val="decimal"/>
      <w:lvlText w:val="%1."/>
      <w:lvlJc w:val="left"/>
      <w:pPr>
        <w:tabs>
          <w:tab w:val="left" w:pos="425"/>
        </w:tabs>
        <w:ind w:left="425" w:hanging="425"/>
      </w:pPr>
      <w:rPr>
        <w:rFonts w:hint="eastAsia"/>
      </w:rPr>
    </w:lvl>
    <w:lvl w:ilvl="1" w:tentative="0">
      <w:start w:val="1"/>
      <w:numFmt w:val="decimal"/>
      <w:pStyle w:val="159"/>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13"/>
    <w:multiLevelType w:val="multilevel"/>
    <w:tmpl w:val="00000013"/>
    <w:lvl w:ilvl="0" w:tentative="0">
      <w:start w:val="1"/>
      <w:numFmt w:val="chineseCountingThousand"/>
      <w:pStyle w:val="9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426"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D"/>
    <w:multiLevelType w:val="singleLevel"/>
    <w:tmpl w:val="0000001D"/>
    <w:lvl w:ilvl="0" w:tentative="0">
      <w:start w:val="5"/>
      <w:numFmt w:val="decimal"/>
      <w:lvlText w:val="%1."/>
      <w:lvlJc w:val="left"/>
      <w:pPr>
        <w:tabs>
          <w:tab w:val="left" w:pos="735"/>
        </w:tabs>
        <w:ind w:left="735" w:hanging="735"/>
      </w:pPr>
      <w:rPr>
        <w:rFonts w:hint="eastAsia"/>
      </w:rPr>
    </w:lvl>
  </w:abstractNum>
  <w:abstractNum w:abstractNumId="7">
    <w:nsid w:val="0000001E"/>
    <w:multiLevelType w:val="singleLevel"/>
    <w:tmpl w:val="0000001E"/>
    <w:lvl w:ilvl="0" w:tentative="0">
      <w:start w:val="3"/>
      <w:numFmt w:val="decimal"/>
      <w:lvlText w:val="%1."/>
      <w:lvlJc w:val="left"/>
      <w:pPr>
        <w:tabs>
          <w:tab w:val="left" w:pos="735"/>
        </w:tabs>
        <w:ind w:left="735" w:hanging="735"/>
      </w:pPr>
      <w:rPr>
        <w:rFonts w:hint="eastAsia"/>
      </w:rPr>
    </w:lvl>
  </w:abstractNum>
  <w:abstractNum w:abstractNumId="8">
    <w:nsid w:val="00000025"/>
    <w:multiLevelType w:val="multilevel"/>
    <w:tmpl w:val="00000025"/>
    <w:lvl w:ilvl="0" w:tentative="0">
      <w:start w:val="1"/>
      <w:numFmt w:val="chineseCountingThousand"/>
      <w:pStyle w:val="147"/>
      <w:suff w:val="space"/>
      <w:lvlText w:val="%1、"/>
      <w:lvlJc w:val="left"/>
      <w:pPr>
        <w:ind w:left="0" w:firstLine="737"/>
      </w:pPr>
      <w:rPr>
        <w:rFonts w:hint="eastAsia"/>
      </w:rPr>
    </w:lvl>
    <w:lvl w:ilvl="1" w:tentative="0">
      <w:start w:val="1"/>
      <w:numFmt w:val="ideographDigital"/>
      <w:suff w:val="space"/>
      <w:lvlText w:val="（%2）"/>
      <w:lvlJc w:val="left"/>
      <w:pPr>
        <w:ind w:left="0" w:firstLine="737"/>
      </w:pPr>
      <w:rPr>
        <w:rFonts w:hint="eastAsia"/>
      </w:rPr>
    </w:lvl>
    <w:lvl w:ilvl="2" w:tentative="0">
      <w:start w:val="1"/>
      <w:numFmt w:val="decimal"/>
      <w:suff w:val="space"/>
      <w:lvlText w:val="%3."/>
      <w:lvlJc w:val="left"/>
      <w:pPr>
        <w:ind w:left="0" w:firstLine="737"/>
      </w:pPr>
      <w:rPr>
        <w:rFonts w:hint="eastAsia"/>
      </w:rPr>
    </w:lvl>
    <w:lvl w:ilvl="3" w:tentative="0">
      <w:start w:val="1"/>
      <w:numFmt w:val="decimal"/>
      <w:suff w:val="space"/>
      <w:lvlText w:val="(%4)"/>
      <w:lvlJc w:val="left"/>
      <w:pPr>
        <w:ind w:left="0" w:firstLine="737"/>
      </w:pPr>
      <w:rPr>
        <w:rFonts w:hint="eastAsia"/>
      </w:rPr>
    </w:lvl>
    <w:lvl w:ilvl="4" w:tentative="0">
      <w:start w:val="1"/>
      <w:numFmt w:val="decimalEnclosedCircle"/>
      <w:suff w:val="space"/>
      <w:lvlText w:val="%5"/>
      <w:lvlJc w:val="left"/>
      <w:pPr>
        <w:ind w:left="0" w:firstLine="737"/>
      </w:pPr>
      <w:rPr>
        <w:rFonts w:hint="eastAsia"/>
      </w:rPr>
    </w:lvl>
    <w:lvl w:ilvl="5" w:tentative="0">
      <w:start w:val="1"/>
      <w:numFmt w:val="none"/>
      <w:lvlText w:val=""/>
      <w:lvlJc w:val="left"/>
      <w:pPr>
        <w:tabs>
          <w:tab w:val="left" w:pos="0"/>
        </w:tabs>
        <w:ind w:left="0" w:firstLine="737"/>
      </w:pPr>
      <w:rPr>
        <w:rFonts w:hint="eastAsia"/>
      </w:rPr>
    </w:lvl>
    <w:lvl w:ilvl="6" w:tentative="0">
      <w:start w:val="1"/>
      <w:numFmt w:val="lowerRoman"/>
      <w:lvlText w:val="(%7)"/>
      <w:lvlJc w:val="left"/>
      <w:pPr>
        <w:tabs>
          <w:tab w:val="left" w:pos="0"/>
        </w:tabs>
        <w:ind w:left="0" w:firstLine="737"/>
      </w:pPr>
      <w:rPr>
        <w:rFonts w:hint="eastAsia"/>
      </w:rPr>
    </w:lvl>
    <w:lvl w:ilvl="7" w:tentative="0">
      <w:start w:val="1"/>
      <w:numFmt w:val="decimal"/>
      <w:lvlRestart w:val="0"/>
      <w:suff w:val="space"/>
      <w:lvlText w:val="表%8 "/>
      <w:lvlJc w:val="center"/>
      <w:pPr>
        <w:ind w:left="0" w:firstLine="0"/>
      </w:pPr>
      <w:rPr>
        <w:rFonts w:hint="eastAsia"/>
      </w:rPr>
    </w:lvl>
    <w:lvl w:ilvl="8" w:tentative="0">
      <w:start w:val="1"/>
      <w:numFmt w:val="decimal"/>
      <w:lvlRestart w:val="0"/>
      <w:suff w:val="space"/>
      <w:lvlText w:val="图%9 "/>
      <w:lvlJc w:val="center"/>
      <w:pPr>
        <w:ind w:left="0" w:firstLine="0"/>
      </w:pPr>
      <w:rPr>
        <w:rFonts w:hint="eastAsia"/>
      </w:rPr>
    </w:lvl>
  </w:abstractNum>
  <w:abstractNum w:abstractNumId="9">
    <w:nsid w:val="00000026"/>
    <w:multiLevelType w:val="multilevel"/>
    <w:tmpl w:val="00000026"/>
    <w:lvl w:ilvl="0" w:tentative="0">
      <w:start w:val="1"/>
      <w:numFmt w:val="decimal"/>
      <w:suff w:val="nothing"/>
      <w:lvlText w:val="%1."/>
      <w:lvlJc w:val="left"/>
      <w:pPr>
        <w:ind w:left="1277" w:hanging="709"/>
      </w:pPr>
      <w:rPr>
        <w:rFonts w:hint="eastAsia"/>
      </w:rPr>
    </w:lvl>
    <w:lvl w:ilvl="1" w:tentative="0">
      <w:start w:val="1"/>
      <w:numFmt w:val="decimal"/>
      <w:lvlText w:val="%1.%2"/>
      <w:lvlJc w:val="left"/>
      <w:pPr>
        <w:tabs>
          <w:tab w:val="left" w:pos="1277"/>
        </w:tabs>
        <w:ind w:left="1277" w:hanging="709"/>
      </w:pPr>
      <w:rPr>
        <w:rFonts w:hint="eastAsia"/>
      </w:rPr>
    </w:lvl>
    <w:lvl w:ilvl="2" w:tentative="0">
      <w:start w:val="1"/>
      <w:numFmt w:val="decimal"/>
      <w:lvlText w:val="%1.%2.%3."/>
      <w:lvlJc w:val="left"/>
      <w:pPr>
        <w:tabs>
          <w:tab w:val="left" w:pos="993"/>
        </w:tabs>
        <w:ind w:left="993" w:hanging="425"/>
      </w:pPr>
      <w:rPr>
        <w:rFonts w:hint="eastAsia"/>
      </w:rPr>
    </w:lvl>
    <w:lvl w:ilvl="3" w:tentative="0">
      <w:start w:val="1"/>
      <w:numFmt w:val="decimal"/>
      <w:lvlText w:val="%1.%2.%3.%4."/>
      <w:lvlJc w:val="left"/>
      <w:pPr>
        <w:tabs>
          <w:tab w:val="left" w:pos="1419"/>
        </w:tabs>
        <w:ind w:left="1419" w:hanging="851"/>
      </w:pPr>
      <w:rPr>
        <w:rFonts w:hint="eastAsia"/>
      </w:rPr>
    </w:lvl>
    <w:lvl w:ilvl="4" w:tentative="0">
      <w:start w:val="1"/>
      <w:numFmt w:val="decimal"/>
      <w:lvlText w:val="%1.%2.%3.%4.%5."/>
      <w:lvlJc w:val="left"/>
      <w:pPr>
        <w:tabs>
          <w:tab w:val="left" w:pos="1560"/>
        </w:tabs>
        <w:ind w:left="1560" w:hanging="992"/>
      </w:pPr>
      <w:rPr>
        <w:rFonts w:hint="eastAsia"/>
      </w:rPr>
    </w:lvl>
    <w:lvl w:ilvl="5" w:tentative="0">
      <w:start w:val="1"/>
      <w:numFmt w:val="decimal"/>
      <w:lvlText w:val="%1.%2.%3.%4.%5.%6."/>
      <w:lvlJc w:val="left"/>
      <w:pPr>
        <w:tabs>
          <w:tab w:val="left" w:pos="1702"/>
        </w:tabs>
        <w:ind w:left="1702" w:hanging="1134"/>
      </w:pPr>
      <w:rPr>
        <w:rFonts w:hint="eastAsia"/>
      </w:rPr>
    </w:lvl>
    <w:lvl w:ilvl="6" w:tentative="0">
      <w:start w:val="1"/>
      <w:numFmt w:val="decimal"/>
      <w:lvlText w:val="%1.%2.%3.%4.%5.%6.%7."/>
      <w:lvlJc w:val="left"/>
      <w:pPr>
        <w:tabs>
          <w:tab w:val="left" w:pos="1844"/>
        </w:tabs>
        <w:ind w:left="1844" w:hanging="1276"/>
      </w:pPr>
      <w:rPr>
        <w:rFonts w:hint="eastAsia"/>
      </w:rPr>
    </w:lvl>
    <w:lvl w:ilvl="7" w:tentative="0">
      <w:start w:val="1"/>
      <w:numFmt w:val="decimal"/>
      <w:lvlText w:val="%1.%2.%3.%4.%5.%6.%7.%8."/>
      <w:lvlJc w:val="left"/>
      <w:pPr>
        <w:tabs>
          <w:tab w:val="left" w:pos="1986"/>
        </w:tabs>
        <w:ind w:left="1986" w:hanging="1418"/>
      </w:pPr>
      <w:rPr>
        <w:rFonts w:hint="eastAsia"/>
      </w:rPr>
    </w:lvl>
    <w:lvl w:ilvl="8" w:tentative="0">
      <w:start w:val="1"/>
      <w:numFmt w:val="decimal"/>
      <w:lvlText w:val="%1.%2.%3.%4.%5.%6.%7.%8.%9."/>
      <w:lvlJc w:val="left"/>
      <w:pPr>
        <w:tabs>
          <w:tab w:val="left" w:pos="2127"/>
        </w:tabs>
        <w:ind w:left="2127" w:hanging="1559"/>
      </w:pPr>
      <w:rPr>
        <w:rFonts w:hint="eastAsia"/>
      </w:rPr>
    </w:lvl>
  </w:abstractNum>
  <w:abstractNum w:abstractNumId="10">
    <w:nsid w:val="00000029"/>
    <w:multiLevelType w:val="multilevel"/>
    <w:tmpl w:val="00000029"/>
    <w:lvl w:ilvl="0" w:tentative="0">
      <w:start w:val="1"/>
      <w:numFmt w:val="decimal"/>
      <w:suff w:val="nothing"/>
      <w:lvlText w:val="（%1）"/>
      <w:lvlJc w:val="left"/>
      <w:pPr>
        <w:ind w:left="1200" w:hanging="7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007A79D2"/>
    <w:multiLevelType w:val="multilevel"/>
    <w:tmpl w:val="007A79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1176F07"/>
    <w:multiLevelType w:val="multilevel"/>
    <w:tmpl w:val="01176F07"/>
    <w:lvl w:ilvl="0" w:tentative="0">
      <w:start w:val="1"/>
      <w:numFmt w:val="decimal"/>
      <w:lvlText w:val="（%1）"/>
      <w:lvlJc w:val="left"/>
      <w:pPr>
        <w:tabs>
          <w:tab w:val="left" w:pos="1140"/>
        </w:tabs>
        <w:ind w:left="1140" w:hanging="720"/>
      </w:pPr>
      <w:rPr>
        <w:rFonts w:hint="default"/>
      </w:rPr>
    </w:lvl>
    <w:lvl w:ilvl="1" w:tentative="0">
      <w:start w:val="6"/>
      <w:numFmt w:val="japaneseCounting"/>
      <w:lvlText w:val="第%2部"/>
      <w:lvlJc w:val="left"/>
      <w:pPr>
        <w:tabs>
          <w:tab w:val="left" w:pos="1500"/>
        </w:tabs>
        <w:ind w:left="1500" w:hanging="1140"/>
      </w:pPr>
      <w:rPr>
        <w:rFonts w:hint="default"/>
      </w:rPr>
    </w:lvl>
    <w:lvl w:ilvl="2" w:tentative="0">
      <w:start w:val="1"/>
      <w:numFmt w:val="lowerRoman"/>
      <w:lvlText w:val="%3."/>
      <w:lvlJc w:val="right"/>
      <w:pPr>
        <w:tabs>
          <w:tab w:val="left" w:pos="1200"/>
        </w:tabs>
        <w:ind w:left="1200" w:hanging="420"/>
      </w:pPr>
      <w:rPr>
        <w:rFonts w:hint="eastAsia"/>
      </w:rPr>
    </w:lvl>
    <w:lvl w:ilvl="3" w:tentative="0">
      <w:start w:val="1"/>
      <w:numFmt w:val="decimal"/>
      <w:lvlText w:val="%4."/>
      <w:lvlJc w:val="left"/>
      <w:pPr>
        <w:tabs>
          <w:tab w:val="left" w:pos="1620"/>
        </w:tabs>
        <w:ind w:left="1620" w:hanging="420"/>
      </w:pPr>
      <w:rPr>
        <w:rFonts w:hint="eastAsia"/>
      </w:rPr>
    </w:lvl>
    <w:lvl w:ilvl="4" w:tentative="0">
      <w:start w:val="1"/>
      <w:numFmt w:val="lowerLetter"/>
      <w:lvlText w:val="%5)"/>
      <w:lvlJc w:val="left"/>
      <w:pPr>
        <w:tabs>
          <w:tab w:val="left" w:pos="2040"/>
        </w:tabs>
        <w:ind w:left="2040" w:hanging="420"/>
      </w:pPr>
      <w:rPr>
        <w:rFonts w:hint="eastAsia"/>
      </w:rPr>
    </w:lvl>
    <w:lvl w:ilvl="5" w:tentative="0">
      <w:start w:val="1"/>
      <w:numFmt w:val="lowerRoman"/>
      <w:lvlText w:val="%6."/>
      <w:lvlJc w:val="right"/>
      <w:pPr>
        <w:tabs>
          <w:tab w:val="left" w:pos="2460"/>
        </w:tabs>
        <w:ind w:left="2460" w:hanging="420"/>
      </w:pPr>
      <w:rPr>
        <w:rFonts w:hint="eastAsia"/>
      </w:rPr>
    </w:lvl>
    <w:lvl w:ilvl="6" w:tentative="0">
      <w:start w:val="1"/>
      <w:numFmt w:val="decimal"/>
      <w:lvlText w:val="%7."/>
      <w:lvlJc w:val="left"/>
      <w:pPr>
        <w:tabs>
          <w:tab w:val="left" w:pos="2880"/>
        </w:tabs>
        <w:ind w:left="2880" w:hanging="420"/>
      </w:pPr>
      <w:rPr>
        <w:rFonts w:hint="eastAsia"/>
      </w:rPr>
    </w:lvl>
    <w:lvl w:ilvl="7" w:tentative="0">
      <w:start w:val="1"/>
      <w:numFmt w:val="lowerLetter"/>
      <w:lvlText w:val="%8)"/>
      <w:lvlJc w:val="left"/>
      <w:pPr>
        <w:tabs>
          <w:tab w:val="left" w:pos="3300"/>
        </w:tabs>
        <w:ind w:left="3300" w:hanging="420"/>
      </w:pPr>
      <w:rPr>
        <w:rFonts w:hint="eastAsia"/>
      </w:rPr>
    </w:lvl>
    <w:lvl w:ilvl="8" w:tentative="0">
      <w:start w:val="1"/>
      <w:numFmt w:val="lowerRoman"/>
      <w:lvlText w:val="%9."/>
      <w:lvlJc w:val="right"/>
      <w:pPr>
        <w:tabs>
          <w:tab w:val="left" w:pos="3720"/>
        </w:tabs>
        <w:ind w:left="3720" w:hanging="420"/>
      </w:pPr>
      <w:rPr>
        <w:rFonts w:hint="eastAsia"/>
      </w:rPr>
    </w:lvl>
  </w:abstractNum>
  <w:abstractNum w:abstractNumId="13">
    <w:nsid w:val="048F14B4"/>
    <w:multiLevelType w:val="multilevel"/>
    <w:tmpl w:val="048F14B4"/>
    <w:lvl w:ilvl="0" w:tentative="0">
      <w:start w:val="1"/>
      <w:numFmt w:val="decimal"/>
      <w:lvlText w:val="（%1）"/>
      <w:lvlJc w:val="left"/>
      <w:pPr>
        <w:tabs>
          <w:tab w:val="left" w:pos="1202"/>
        </w:tabs>
        <w:ind w:left="1200" w:hanging="7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08566168"/>
    <w:multiLevelType w:val="singleLevel"/>
    <w:tmpl w:val="08566168"/>
    <w:lvl w:ilvl="0" w:tentative="0">
      <w:start w:val="6"/>
      <w:numFmt w:val="chineseCounting"/>
      <w:suff w:val="nothing"/>
      <w:lvlText w:val="%1、"/>
      <w:lvlJc w:val="left"/>
      <w:rPr>
        <w:rFonts w:hint="eastAsia"/>
      </w:rPr>
    </w:lvl>
  </w:abstractNum>
  <w:abstractNum w:abstractNumId="15">
    <w:nsid w:val="0C8860EB"/>
    <w:multiLevelType w:val="multilevel"/>
    <w:tmpl w:val="0C8860EB"/>
    <w:lvl w:ilvl="0" w:tentative="0">
      <w:start w:val="1"/>
      <w:numFmt w:val="chineseCountingThousand"/>
      <w:suff w:val="nothing"/>
      <w:lvlText w:val="第%1章　"/>
      <w:lvlJc w:val="left"/>
      <w:pPr>
        <w:ind w:left="6380" w:firstLine="0"/>
      </w:pPr>
      <w:rPr>
        <w:rFonts w:hint="eastAsia"/>
      </w:rPr>
    </w:lvl>
    <w:lvl w:ilvl="1" w:tentative="0">
      <w:start w:val="1"/>
      <w:numFmt w:val="decimal"/>
      <w:isLgl/>
      <w:suff w:val="nothing"/>
      <w:lvlText w:val="%1.%2　"/>
      <w:lvlJc w:val="left"/>
      <w:pPr>
        <w:ind w:left="1135" w:firstLine="0"/>
      </w:pPr>
      <w:rPr>
        <w:rFonts w:hint="eastAsia"/>
      </w:rPr>
    </w:lvl>
    <w:lvl w:ilvl="2" w:tentative="0">
      <w:start w:val="1"/>
      <w:numFmt w:val="decimal"/>
      <w:isLgl/>
      <w:suff w:val="nothing"/>
      <w:lvlText w:val="%1.%2.%3  "/>
      <w:lvlJc w:val="left"/>
      <w:pPr>
        <w:ind w:left="1986" w:firstLine="0"/>
      </w:pPr>
      <w:rPr>
        <w:rFonts w:hint="default" w:ascii="Arial" w:hAnsi="Arial" w:eastAsia="宋体"/>
        <w:b/>
        <w:i w:val="0"/>
        <w:sz w:val="24"/>
      </w:rPr>
    </w:lvl>
    <w:lvl w:ilvl="3" w:tentative="0">
      <w:start w:val="1"/>
      <w:numFmt w:val="decimal"/>
      <w:isLgl/>
      <w:suff w:val="nothing"/>
      <w:lvlText w:val="%1.%2.%3.%4"/>
      <w:lvlJc w:val="left"/>
      <w:pPr>
        <w:ind w:left="3266" w:hanging="713"/>
      </w:pPr>
      <w:rPr>
        <w:rFonts w:hint="eastAsia" w:eastAsia="宋体"/>
        <w:b/>
        <w:i w:val="0"/>
        <w:sz w:val="24"/>
      </w:rPr>
    </w:lvl>
    <w:lvl w:ilvl="4" w:tentative="0">
      <w:start w:val="1"/>
      <w:numFmt w:val="decimal"/>
      <w:pStyle w:val="7"/>
      <w:isLgl/>
      <w:lvlText w:val="%1.%2.%3.%4.%5"/>
      <w:lvlJc w:val="left"/>
      <w:pPr>
        <w:ind w:left="210" w:firstLine="0"/>
      </w:pPr>
      <w:rPr>
        <w:rFonts w:hint="eastAsia"/>
        <w:b/>
        <w:i w:val="0"/>
        <w:sz w:val="21"/>
        <w:szCs w:val="21"/>
      </w:rPr>
    </w:lvl>
    <w:lvl w:ilvl="5" w:tentative="0">
      <w:start w:val="1"/>
      <w:numFmt w:val="none"/>
      <w:suff w:val="nothing"/>
      <w:lvlText w:val=""/>
      <w:lvlJc w:val="left"/>
      <w:pPr>
        <w:ind w:left="210" w:firstLine="0"/>
      </w:pPr>
      <w:rPr>
        <w:rFonts w:hint="eastAsia" w:eastAsia="SimSun-ExtB"/>
        <w:sz w:val="10"/>
      </w:rPr>
    </w:lvl>
    <w:lvl w:ilvl="6" w:tentative="0">
      <w:start w:val="1"/>
      <w:numFmt w:val="none"/>
      <w:pStyle w:val="9"/>
      <w:suff w:val="nothing"/>
      <w:lvlText w:val=""/>
      <w:lvlJc w:val="left"/>
      <w:pPr>
        <w:ind w:left="210" w:firstLine="0"/>
      </w:pPr>
      <w:rPr>
        <w:rFonts w:hint="eastAsia"/>
      </w:rPr>
    </w:lvl>
    <w:lvl w:ilvl="7" w:tentative="0">
      <w:start w:val="1"/>
      <w:numFmt w:val="none"/>
      <w:pStyle w:val="10"/>
      <w:suff w:val="nothing"/>
      <w:lvlText w:val=""/>
      <w:lvlJc w:val="left"/>
      <w:pPr>
        <w:ind w:left="210" w:firstLine="0"/>
      </w:pPr>
      <w:rPr>
        <w:rFonts w:hint="eastAsia"/>
      </w:rPr>
    </w:lvl>
    <w:lvl w:ilvl="8" w:tentative="0">
      <w:start w:val="1"/>
      <w:numFmt w:val="none"/>
      <w:pStyle w:val="11"/>
      <w:suff w:val="nothing"/>
      <w:lvlText w:val=""/>
      <w:lvlJc w:val="left"/>
      <w:pPr>
        <w:ind w:left="210" w:firstLine="0"/>
      </w:pPr>
      <w:rPr>
        <w:rFonts w:hint="eastAsia"/>
      </w:rPr>
    </w:lvl>
  </w:abstractNum>
  <w:abstractNum w:abstractNumId="16">
    <w:nsid w:val="21700416"/>
    <w:multiLevelType w:val="multilevel"/>
    <w:tmpl w:val="21700416"/>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3D605F5"/>
    <w:multiLevelType w:val="multilevel"/>
    <w:tmpl w:val="23D605F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0E73D41"/>
    <w:multiLevelType w:val="multilevel"/>
    <w:tmpl w:val="30E73D4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801465B"/>
    <w:multiLevelType w:val="multilevel"/>
    <w:tmpl w:val="380146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F02DF9"/>
    <w:multiLevelType w:val="multilevel"/>
    <w:tmpl w:val="58F02DF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5B749D"/>
    <w:multiLevelType w:val="multilevel"/>
    <w:tmpl w:val="5B5B749D"/>
    <w:lvl w:ilvl="0" w:tentative="0">
      <w:start w:val="1"/>
      <w:numFmt w:val="decimal"/>
      <w:lvlText w:val="（%1）"/>
      <w:lvlJc w:val="left"/>
      <w:pPr>
        <w:tabs>
          <w:tab w:val="left" w:pos="1202"/>
        </w:tabs>
        <w:ind w:left="1200" w:hanging="7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655234A8"/>
    <w:multiLevelType w:val="multilevel"/>
    <w:tmpl w:val="655234A8"/>
    <w:lvl w:ilvl="0" w:tentative="0">
      <w:start w:val="1"/>
      <w:numFmt w:val="decimal"/>
      <w:lvlText w:val="（%1）"/>
      <w:lvlJc w:val="left"/>
      <w:pPr>
        <w:tabs>
          <w:tab w:val="left" w:pos="1202"/>
        </w:tabs>
        <w:ind w:left="1200" w:hanging="7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3">
    <w:nsid w:val="70CD3700"/>
    <w:multiLevelType w:val="multilevel"/>
    <w:tmpl w:val="70CD3700"/>
    <w:lvl w:ilvl="0" w:tentative="0">
      <w:start w:val="1"/>
      <w:numFmt w:val="decimal"/>
      <w:lvlText w:val="（%1）"/>
      <w:lvlJc w:val="left"/>
      <w:pPr>
        <w:tabs>
          <w:tab w:val="left" w:pos="1202"/>
        </w:tabs>
        <w:ind w:left="120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4">
    <w:nsid w:val="7C0A526C"/>
    <w:multiLevelType w:val="multilevel"/>
    <w:tmpl w:val="7C0A526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5"/>
  </w:num>
  <w:num w:numId="2">
    <w:abstractNumId w:val="7"/>
  </w:num>
  <w:num w:numId="3">
    <w:abstractNumId w:val="5"/>
  </w:num>
  <w:num w:numId="4">
    <w:abstractNumId w:val="6"/>
  </w:num>
  <w:num w:numId="5">
    <w:abstractNumId w:val="8"/>
  </w:num>
  <w:num w:numId="6">
    <w:abstractNumId w:val="4"/>
  </w:num>
  <w:num w:numId="7">
    <w:abstractNumId w:val="14"/>
  </w:num>
  <w:num w:numId="8">
    <w:abstractNumId w:val="19"/>
  </w:num>
  <w:num w:numId="9">
    <w:abstractNumId w:val="9"/>
  </w:num>
  <w:num w:numId="10">
    <w:abstractNumId w:val="1"/>
  </w:num>
  <w:num w:numId="11">
    <w:abstractNumId w:val="21"/>
  </w:num>
  <w:num w:numId="12">
    <w:abstractNumId w:val="22"/>
  </w:num>
  <w:num w:numId="13">
    <w:abstractNumId w:val="13"/>
  </w:num>
  <w:num w:numId="14">
    <w:abstractNumId w:val="3"/>
  </w:num>
  <w:num w:numId="15">
    <w:abstractNumId w:val="23"/>
  </w:num>
  <w:num w:numId="16">
    <w:abstractNumId w:val="2"/>
  </w:num>
  <w:num w:numId="17">
    <w:abstractNumId w:val="0"/>
  </w:num>
  <w:num w:numId="18">
    <w:abstractNumId w:val="12"/>
  </w:num>
  <w:num w:numId="19">
    <w:abstractNumId w:val="9"/>
    <w:lvlOverride w:ilvl="0">
      <w:lvl w:ilvl="0" w:tentative="1">
        <w:start w:val="1"/>
        <w:numFmt w:val="decimal"/>
        <w:suff w:val="nothing"/>
        <w:lvlText w:val="%1."/>
        <w:lvlJc w:val="left"/>
        <w:pPr>
          <w:ind w:left="851" w:hanging="709"/>
        </w:pPr>
        <w:rPr>
          <w:rFonts w:hint="eastAsia"/>
        </w:rPr>
      </w:lvl>
    </w:lvlOverride>
    <w:lvlOverride w:ilvl="1">
      <w:lvl w:ilvl="1" w:tentative="1">
        <w:start w:val="1"/>
        <w:numFmt w:val="decimal"/>
        <w:lvlText w:val="%1.%2"/>
        <w:lvlJc w:val="left"/>
        <w:pPr>
          <w:tabs>
            <w:tab w:val="left" w:pos="709"/>
          </w:tabs>
          <w:ind w:left="709" w:hanging="709"/>
        </w:pPr>
        <w:rPr>
          <w:rFonts w:hint="eastAsia"/>
        </w:rPr>
      </w:lvl>
    </w:lvlOverride>
    <w:lvlOverride w:ilvl="2">
      <w:lvl w:ilvl="2" w:tentative="1">
        <w:start w:val="1"/>
        <w:numFmt w:val="decimal"/>
        <w:lvlText w:val="%1.%2.%3."/>
        <w:lvlJc w:val="left"/>
        <w:pPr>
          <w:tabs>
            <w:tab w:val="left" w:pos="425"/>
          </w:tabs>
          <w:ind w:left="425" w:hanging="425"/>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20">
    <w:abstractNumId w:val="16"/>
  </w:num>
  <w:num w:numId="21">
    <w:abstractNumId w:val="20"/>
  </w:num>
  <w:num w:numId="22">
    <w:abstractNumId w:val="17"/>
  </w:num>
  <w:num w:numId="23">
    <w:abstractNumId w:val="24"/>
  </w:num>
  <w:num w:numId="24">
    <w:abstractNumId w:val="18"/>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02"/>
    <w:rsid w:val="001750E7"/>
    <w:rsid w:val="001F4628"/>
    <w:rsid w:val="00297D7B"/>
    <w:rsid w:val="004F5802"/>
    <w:rsid w:val="008E57EA"/>
    <w:rsid w:val="00B254A0"/>
    <w:rsid w:val="00B67910"/>
    <w:rsid w:val="00BB30D9"/>
    <w:rsid w:val="00D06D9A"/>
    <w:rsid w:val="00D36DCB"/>
    <w:rsid w:val="00F54C59"/>
    <w:rsid w:val="05857CB5"/>
    <w:rsid w:val="0D210C85"/>
    <w:rsid w:val="0DDFE03A"/>
    <w:rsid w:val="0F9302B7"/>
    <w:rsid w:val="0FFB6893"/>
    <w:rsid w:val="123D4A4E"/>
    <w:rsid w:val="17F90ED2"/>
    <w:rsid w:val="19A32C73"/>
    <w:rsid w:val="1A622DEE"/>
    <w:rsid w:val="1B882BE2"/>
    <w:rsid w:val="1BFBD4E9"/>
    <w:rsid w:val="1F9B325B"/>
    <w:rsid w:val="1FFF3D4F"/>
    <w:rsid w:val="21825157"/>
    <w:rsid w:val="29FB1295"/>
    <w:rsid w:val="2BEB2C22"/>
    <w:rsid w:val="2C8E1EDE"/>
    <w:rsid w:val="2D5B9412"/>
    <w:rsid w:val="2EFFC6BB"/>
    <w:rsid w:val="2F538637"/>
    <w:rsid w:val="2F6ED931"/>
    <w:rsid w:val="30E30FD4"/>
    <w:rsid w:val="338B4CE0"/>
    <w:rsid w:val="37DFA95D"/>
    <w:rsid w:val="37FF8B3D"/>
    <w:rsid w:val="38FB06A8"/>
    <w:rsid w:val="3EDD04C9"/>
    <w:rsid w:val="3F9EB6E0"/>
    <w:rsid w:val="46492F81"/>
    <w:rsid w:val="4785E7CD"/>
    <w:rsid w:val="4AD258C6"/>
    <w:rsid w:val="4C7FF022"/>
    <w:rsid w:val="4FFD385F"/>
    <w:rsid w:val="51322872"/>
    <w:rsid w:val="51A17102"/>
    <w:rsid w:val="55B5D10E"/>
    <w:rsid w:val="56BF190F"/>
    <w:rsid w:val="57FD0600"/>
    <w:rsid w:val="58830E41"/>
    <w:rsid w:val="5B4C01D6"/>
    <w:rsid w:val="5BF18FF4"/>
    <w:rsid w:val="5BF7931C"/>
    <w:rsid w:val="5BFAB7A7"/>
    <w:rsid w:val="5C1F0699"/>
    <w:rsid w:val="5DDC00EA"/>
    <w:rsid w:val="5FE795B4"/>
    <w:rsid w:val="5FF619B3"/>
    <w:rsid w:val="5FFBE3F2"/>
    <w:rsid w:val="60FB1233"/>
    <w:rsid w:val="636F2025"/>
    <w:rsid w:val="657E593B"/>
    <w:rsid w:val="6669623A"/>
    <w:rsid w:val="6703618E"/>
    <w:rsid w:val="677E4480"/>
    <w:rsid w:val="68AF7AFA"/>
    <w:rsid w:val="71454671"/>
    <w:rsid w:val="71EBBD94"/>
    <w:rsid w:val="746FAF61"/>
    <w:rsid w:val="763F1F18"/>
    <w:rsid w:val="770A4496"/>
    <w:rsid w:val="7779597A"/>
    <w:rsid w:val="77BFB205"/>
    <w:rsid w:val="7ADFA5AA"/>
    <w:rsid w:val="7AF5F070"/>
    <w:rsid w:val="7AFF048B"/>
    <w:rsid w:val="7BF788CD"/>
    <w:rsid w:val="7CFDA4F9"/>
    <w:rsid w:val="7D4D2B8A"/>
    <w:rsid w:val="7DFE9333"/>
    <w:rsid w:val="7E57F7CE"/>
    <w:rsid w:val="7F5F8118"/>
    <w:rsid w:val="7F7737AD"/>
    <w:rsid w:val="7F77B75A"/>
    <w:rsid w:val="7F7D5EE3"/>
    <w:rsid w:val="7F7E773E"/>
    <w:rsid w:val="7FFDD20D"/>
    <w:rsid w:val="7FFFB14E"/>
    <w:rsid w:val="8CF74A7F"/>
    <w:rsid w:val="8F77C02C"/>
    <w:rsid w:val="95DF8E5D"/>
    <w:rsid w:val="9A5F430F"/>
    <w:rsid w:val="9BFB7C60"/>
    <w:rsid w:val="9EFD2848"/>
    <w:rsid w:val="9FFF62B6"/>
    <w:rsid w:val="AE5F6551"/>
    <w:rsid w:val="AFBE643F"/>
    <w:rsid w:val="AFF314AA"/>
    <w:rsid w:val="B9EA2896"/>
    <w:rsid w:val="BF6F48B7"/>
    <w:rsid w:val="BFAF49C7"/>
    <w:rsid w:val="BFEF6559"/>
    <w:rsid w:val="BFEFDF75"/>
    <w:rsid w:val="CBADC6E8"/>
    <w:rsid w:val="D33FE1A4"/>
    <w:rsid w:val="D76FDE0F"/>
    <w:rsid w:val="DAEF6003"/>
    <w:rsid w:val="DCFEC4D1"/>
    <w:rsid w:val="DE6FB937"/>
    <w:rsid w:val="DF7E8786"/>
    <w:rsid w:val="DFEF8A8A"/>
    <w:rsid w:val="E779876D"/>
    <w:rsid w:val="E7E29B70"/>
    <w:rsid w:val="EADF5408"/>
    <w:rsid w:val="ED7F8613"/>
    <w:rsid w:val="EDFF0EDC"/>
    <w:rsid w:val="EF373F13"/>
    <w:rsid w:val="EFBE77B3"/>
    <w:rsid w:val="EFC3A256"/>
    <w:rsid w:val="EFF547EE"/>
    <w:rsid w:val="F4F7D64A"/>
    <w:rsid w:val="F5DB569B"/>
    <w:rsid w:val="F7D7026B"/>
    <w:rsid w:val="F96D2519"/>
    <w:rsid w:val="F9F34575"/>
    <w:rsid w:val="FB3821E3"/>
    <w:rsid w:val="FBEF5A18"/>
    <w:rsid w:val="FBEFE373"/>
    <w:rsid w:val="FDED709F"/>
    <w:rsid w:val="FDF96CE7"/>
    <w:rsid w:val="FEE4CBD8"/>
    <w:rsid w:val="FEF7D7BB"/>
    <w:rsid w:val="FEF8D842"/>
    <w:rsid w:val="FF5F6733"/>
    <w:rsid w:val="FF7DF4E1"/>
    <w:rsid w:val="FF7F9498"/>
    <w:rsid w:val="FFBF98AA"/>
    <w:rsid w:val="FFBFC3A1"/>
    <w:rsid w:val="FFDE8B7D"/>
    <w:rsid w:val="FFFFBEA3"/>
    <w:rsid w:val="FFFFC233"/>
    <w:rsid w:val="FFFFD9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kern w:val="0"/>
      <w:sz w:val="24"/>
      <w:szCs w:val="20"/>
      <w:lang w:val="en-US" w:eastAsia="zh-CN" w:bidi="ar-SA"/>
    </w:rPr>
  </w:style>
  <w:style w:type="paragraph" w:styleId="3">
    <w:name w:val="heading 1"/>
    <w:basedOn w:val="1"/>
    <w:next w:val="1"/>
    <w:link w:val="58"/>
    <w:qFormat/>
    <w:uiPriority w:val="0"/>
    <w:pPr>
      <w:keepNext/>
      <w:keepLines/>
      <w:spacing w:line="360" w:lineRule="auto"/>
      <w:jc w:val="center"/>
      <w:outlineLvl w:val="0"/>
    </w:pPr>
    <w:rPr>
      <w:b/>
      <w:bCs/>
      <w:kern w:val="44"/>
      <w:sz w:val="28"/>
      <w:szCs w:val="44"/>
    </w:rPr>
  </w:style>
  <w:style w:type="paragraph" w:styleId="4">
    <w:name w:val="heading 2"/>
    <w:basedOn w:val="1"/>
    <w:next w:val="1"/>
    <w:link w:val="77"/>
    <w:qFormat/>
    <w:uiPriority w:val="0"/>
    <w:pPr>
      <w:keepNext/>
      <w:keepLines/>
      <w:spacing w:line="360" w:lineRule="auto"/>
      <w:jc w:val="center"/>
      <w:outlineLvl w:val="1"/>
    </w:pPr>
    <w:rPr>
      <w:rFonts w:ascii="Arial" w:hAnsi="Arial"/>
      <w:b/>
      <w:bCs/>
      <w:szCs w:val="32"/>
    </w:rPr>
  </w:style>
  <w:style w:type="paragraph" w:styleId="5">
    <w:name w:val="heading 3"/>
    <w:basedOn w:val="1"/>
    <w:next w:val="1"/>
    <w:link w:val="87"/>
    <w:qFormat/>
    <w:uiPriority w:val="0"/>
    <w:pPr>
      <w:keepNext/>
      <w:keepLines/>
      <w:spacing w:line="360" w:lineRule="auto"/>
      <w:outlineLvl w:val="2"/>
    </w:pPr>
    <w:rPr>
      <w:b/>
      <w:bCs/>
      <w:szCs w:val="32"/>
    </w:rPr>
  </w:style>
  <w:style w:type="paragraph" w:styleId="6">
    <w:name w:val="heading 4"/>
    <w:basedOn w:val="1"/>
    <w:next w:val="1"/>
    <w:link w:val="65"/>
    <w:qFormat/>
    <w:uiPriority w:val="0"/>
    <w:pPr>
      <w:keepNext/>
      <w:keepLines/>
      <w:spacing w:line="360" w:lineRule="auto"/>
      <w:outlineLvl w:val="3"/>
    </w:pPr>
    <w:rPr>
      <w:rFonts w:ascii="Arial" w:hAnsi="Arial"/>
      <w:b/>
      <w:bCs/>
      <w:szCs w:val="28"/>
    </w:rPr>
  </w:style>
  <w:style w:type="paragraph" w:styleId="7">
    <w:name w:val="heading 5"/>
    <w:basedOn w:val="1"/>
    <w:next w:val="1"/>
    <w:link w:val="69"/>
    <w:qFormat/>
    <w:uiPriority w:val="0"/>
    <w:pPr>
      <w:keepNext/>
      <w:keepLines/>
      <w:numPr>
        <w:ilvl w:val="4"/>
        <w:numId w:val="1"/>
      </w:numPr>
      <w:spacing w:before="280" w:after="290" w:line="376" w:lineRule="atLeast"/>
      <w:outlineLvl w:val="4"/>
    </w:pPr>
    <w:rPr>
      <w:b/>
      <w:bCs/>
      <w:sz w:val="28"/>
      <w:szCs w:val="28"/>
    </w:rPr>
  </w:style>
  <w:style w:type="paragraph" w:styleId="8">
    <w:name w:val="heading 6"/>
    <w:basedOn w:val="1"/>
    <w:next w:val="1"/>
    <w:link w:val="48"/>
    <w:unhideWhenUsed/>
    <w:qFormat/>
    <w:uiPriority w:val="0"/>
    <w:pPr>
      <w:keepNext/>
      <w:keepLines/>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86"/>
    <w:qFormat/>
    <w:uiPriority w:val="0"/>
    <w:pPr>
      <w:keepNext/>
      <w:keepLines/>
      <w:numPr>
        <w:ilvl w:val="6"/>
        <w:numId w:val="1"/>
      </w:numPr>
      <w:spacing w:before="240" w:after="64" w:line="320" w:lineRule="atLeast"/>
      <w:outlineLvl w:val="6"/>
    </w:pPr>
    <w:rPr>
      <w:b/>
      <w:bCs/>
      <w:szCs w:val="24"/>
    </w:rPr>
  </w:style>
  <w:style w:type="paragraph" w:styleId="10">
    <w:name w:val="heading 8"/>
    <w:basedOn w:val="1"/>
    <w:next w:val="1"/>
    <w:link w:val="79"/>
    <w:qFormat/>
    <w:uiPriority w:val="0"/>
    <w:pPr>
      <w:keepNext/>
      <w:keepLines/>
      <w:numPr>
        <w:ilvl w:val="7"/>
        <w:numId w:val="1"/>
      </w:numPr>
      <w:spacing w:before="240" w:after="64" w:line="320" w:lineRule="atLeast"/>
      <w:outlineLvl w:val="7"/>
    </w:pPr>
    <w:rPr>
      <w:rFonts w:ascii="Arial" w:hAnsi="Arial" w:eastAsia="黑体"/>
      <w:szCs w:val="24"/>
    </w:rPr>
  </w:style>
  <w:style w:type="paragraph" w:styleId="11">
    <w:name w:val="heading 9"/>
    <w:basedOn w:val="1"/>
    <w:next w:val="1"/>
    <w:link w:val="85"/>
    <w:qFormat/>
    <w:uiPriority w:val="0"/>
    <w:pPr>
      <w:keepNext/>
      <w:keepLines/>
      <w:numPr>
        <w:ilvl w:val="8"/>
        <w:numId w:val="1"/>
      </w:numPr>
      <w:spacing w:before="240" w:after="64" w:line="320" w:lineRule="atLeast"/>
      <w:outlineLvl w:val="8"/>
    </w:pPr>
    <w:rPr>
      <w:rFonts w:ascii="Arial" w:hAnsi="Arial" w:eastAsia="黑体"/>
      <w:sz w:val="21"/>
      <w:szCs w:val="21"/>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macro"/>
    <w:link w:val="114"/>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Calibri" w:eastAsia="宋体" w:cs="Times New Roman"/>
      <w:kern w:val="0"/>
      <w:sz w:val="24"/>
      <w:szCs w:val="20"/>
      <w:lang w:val="en-US" w:eastAsia="zh-CN" w:bidi="ar-SA"/>
    </w:rPr>
  </w:style>
  <w:style w:type="paragraph" w:styleId="12">
    <w:name w:val="Normal Indent"/>
    <w:basedOn w:val="1"/>
    <w:link w:val="84"/>
    <w:qFormat/>
    <w:uiPriority w:val="0"/>
    <w:pPr>
      <w:ind w:firstLine="420" w:firstLineChars="200"/>
    </w:pPr>
    <w:rPr>
      <w:rFonts w:asciiTheme="minorHAnsi" w:hAnsiTheme="minorHAnsi" w:eastAsiaTheme="minorEastAsia" w:cstheme="minorBidi"/>
      <w:kern w:val="2"/>
      <w:szCs w:val="24"/>
    </w:rPr>
  </w:style>
  <w:style w:type="paragraph" w:styleId="13">
    <w:name w:val="caption"/>
    <w:basedOn w:val="1"/>
    <w:next w:val="1"/>
    <w:qFormat/>
    <w:uiPriority w:val="35"/>
    <w:pPr>
      <w:widowControl/>
      <w:adjustRightInd/>
      <w:spacing w:line="240" w:lineRule="auto"/>
      <w:textAlignment w:val="auto"/>
    </w:pPr>
    <w:rPr>
      <w:rFonts w:ascii="Cambria" w:hAnsi="Cambria" w:eastAsia="黑体"/>
      <w:sz w:val="20"/>
    </w:rPr>
  </w:style>
  <w:style w:type="paragraph" w:styleId="14">
    <w:name w:val="Document Map"/>
    <w:basedOn w:val="1"/>
    <w:link w:val="76"/>
    <w:qFormat/>
    <w:uiPriority w:val="0"/>
    <w:pPr>
      <w:shd w:val="clear" w:color="auto" w:fill="000080"/>
    </w:pPr>
    <w:rPr>
      <w:rFonts w:asciiTheme="minorHAnsi" w:hAnsiTheme="minorHAnsi" w:cstheme="minorBidi"/>
      <w:kern w:val="2"/>
      <w:szCs w:val="24"/>
    </w:rPr>
  </w:style>
  <w:style w:type="paragraph" w:styleId="15">
    <w:name w:val="annotation text"/>
    <w:basedOn w:val="1"/>
    <w:link w:val="103"/>
    <w:unhideWhenUsed/>
    <w:qFormat/>
    <w:uiPriority w:val="0"/>
  </w:style>
  <w:style w:type="paragraph" w:styleId="16">
    <w:name w:val="Body Text 3"/>
    <w:basedOn w:val="1"/>
    <w:link w:val="116"/>
    <w:qFormat/>
    <w:uiPriority w:val="0"/>
    <w:pPr>
      <w:spacing w:after="120"/>
    </w:pPr>
    <w:rPr>
      <w:sz w:val="16"/>
      <w:szCs w:val="16"/>
    </w:rPr>
  </w:style>
  <w:style w:type="paragraph" w:styleId="17">
    <w:name w:val="Body Text"/>
    <w:basedOn w:val="1"/>
    <w:link w:val="97"/>
    <w:qFormat/>
    <w:uiPriority w:val="0"/>
    <w:pPr>
      <w:spacing w:after="120"/>
    </w:pPr>
  </w:style>
  <w:style w:type="paragraph" w:styleId="18">
    <w:name w:val="Body Text Indent"/>
    <w:basedOn w:val="1"/>
    <w:link w:val="101"/>
    <w:qFormat/>
    <w:uiPriority w:val="0"/>
    <w:pPr>
      <w:spacing w:after="120"/>
      <w:ind w:left="420" w:leftChars="200"/>
    </w:pPr>
  </w:style>
  <w:style w:type="paragraph" w:styleId="19">
    <w:name w:val="Plain Text"/>
    <w:basedOn w:val="1"/>
    <w:link w:val="74"/>
    <w:qFormat/>
    <w:uiPriority w:val="99"/>
    <w:pPr>
      <w:adjustRightInd/>
      <w:spacing w:line="240" w:lineRule="auto"/>
      <w:jc w:val="both"/>
      <w:textAlignment w:val="auto"/>
    </w:pPr>
    <w:rPr>
      <w:rFonts w:ascii="宋体" w:hAnsi="Courier New" w:cstheme="minorBidi"/>
      <w:kern w:val="2"/>
      <w:sz w:val="21"/>
      <w:szCs w:val="21"/>
    </w:rPr>
  </w:style>
  <w:style w:type="paragraph" w:styleId="20">
    <w:name w:val="Date"/>
    <w:basedOn w:val="1"/>
    <w:next w:val="1"/>
    <w:link w:val="88"/>
    <w:qFormat/>
    <w:uiPriority w:val="0"/>
    <w:pPr>
      <w:ind w:left="100" w:leftChars="2500"/>
    </w:pPr>
  </w:style>
  <w:style w:type="paragraph" w:styleId="21">
    <w:name w:val="Body Text Indent 2"/>
    <w:basedOn w:val="1"/>
    <w:link w:val="96"/>
    <w:qFormat/>
    <w:uiPriority w:val="0"/>
    <w:pPr>
      <w:spacing w:after="120" w:line="480" w:lineRule="auto"/>
      <w:ind w:left="420" w:leftChars="200"/>
    </w:pPr>
  </w:style>
  <w:style w:type="paragraph" w:styleId="22">
    <w:name w:val="Balloon Text"/>
    <w:basedOn w:val="1"/>
    <w:link w:val="107"/>
    <w:qFormat/>
    <w:uiPriority w:val="0"/>
    <w:rPr>
      <w:sz w:val="18"/>
      <w:szCs w:val="18"/>
    </w:rPr>
  </w:style>
  <w:style w:type="paragraph" w:styleId="23">
    <w:name w:val="footer"/>
    <w:basedOn w:val="1"/>
    <w:link w:val="57"/>
    <w:qFormat/>
    <w:uiPriority w:val="99"/>
    <w:pPr>
      <w:tabs>
        <w:tab w:val="center" w:pos="4153"/>
        <w:tab w:val="right" w:pos="8306"/>
      </w:tabs>
      <w:spacing w:line="240" w:lineRule="atLeast"/>
    </w:pPr>
    <w:rPr>
      <w:rFonts w:asciiTheme="minorHAnsi" w:hAnsiTheme="minorHAnsi" w:cstheme="minorBidi"/>
      <w:kern w:val="2"/>
      <w:sz w:val="18"/>
      <w:szCs w:val="24"/>
    </w:rPr>
  </w:style>
  <w:style w:type="paragraph" w:styleId="24">
    <w:name w:val="header"/>
    <w:basedOn w:val="1"/>
    <w:link w:val="68"/>
    <w:qFormat/>
    <w:uiPriority w:val="0"/>
    <w:pPr>
      <w:pBdr>
        <w:bottom w:val="single" w:color="auto" w:sz="6" w:space="1"/>
      </w:pBdr>
      <w:tabs>
        <w:tab w:val="center" w:pos="4153"/>
        <w:tab w:val="right" w:pos="8306"/>
      </w:tabs>
      <w:spacing w:line="240" w:lineRule="atLeast"/>
      <w:jc w:val="center"/>
    </w:pPr>
    <w:rPr>
      <w:rFonts w:asciiTheme="minorHAnsi" w:hAnsiTheme="minorHAnsi" w:cstheme="minorBidi"/>
      <w:kern w:val="2"/>
      <w:sz w:val="18"/>
      <w:szCs w:val="24"/>
    </w:rPr>
  </w:style>
  <w:style w:type="paragraph" w:styleId="25">
    <w:name w:val="toc 1"/>
    <w:basedOn w:val="1"/>
    <w:next w:val="1"/>
    <w:unhideWhenUsed/>
    <w:qFormat/>
    <w:uiPriority w:val="39"/>
  </w:style>
  <w:style w:type="paragraph" w:styleId="26">
    <w:name w:val="Subtitle"/>
    <w:basedOn w:val="1"/>
    <w:next w:val="1"/>
    <w:link w:val="61"/>
    <w:qFormat/>
    <w:uiPriority w:val="0"/>
    <w:pPr>
      <w:spacing w:before="240" w:after="60" w:line="312" w:lineRule="atLeast"/>
      <w:jc w:val="center"/>
      <w:outlineLvl w:val="1"/>
    </w:pPr>
    <w:rPr>
      <w:rFonts w:ascii="Cambria" w:hAnsi="Cambria" w:eastAsiaTheme="minorEastAsia"/>
      <w:b/>
      <w:bCs/>
      <w:kern w:val="28"/>
      <w:sz w:val="32"/>
      <w:szCs w:val="32"/>
    </w:rPr>
  </w:style>
  <w:style w:type="paragraph" w:styleId="27">
    <w:name w:val="footnote text"/>
    <w:basedOn w:val="1"/>
    <w:link w:val="111"/>
    <w:qFormat/>
    <w:uiPriority w:val="0"/>
    <w:pPr>
      <w:spacing w:line="312" w:lineRule="atLeast"/>
    </w:pPr>
    <w:rPr>
      <w:kern w:val="2"/>
      <w:sz w:val="18"/>
      <w:szCs w:val="18"/>
    </w:rPr>
  </w:style>
  <w:style w:type="paragraph" w:styleId="28">
    <w:name w:val="Body Text Indent 3"/>
    <w:basedOn w:val="1"/>
    <w:link w:val="112"/>
    <w:uiPriority w:val="0"/>
    <w:pPr>
      <w:spacing w:after="120"/>
      <w:ind w:left="420" w:leftChars="200"/>
    </w:pPr>
    <w:rPr>
      <w:sz w:val="16"/>
      <w:szCs w:val="16"/>
    </w:rPr>
  </w:style>
  <w:style w:type="paragraph" w:styleId="29">
    <w:name w:val="Body Text 2"/>
    <w:basedOn w:val="1"/>
    <w:link w:val="113"/>
    <w:qFormat/>
    <w:uiPriority w:val="0"/>
    <w:pPr>
      <w:spacing w:after="120" w:line="480" w:lineRule="auto"/>
    </w:pPr>
  </w:style>
  <w:style w:type="paragraph" w:styleId="30">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31">
    <w:name w:val="Title"/>
    <w:basedOn w:val="1"/>
    <w:next w:val="1"/>
    <w:link w:val="80"/>
    <w:qFormat/>
    <w:uiPriority w:val="0"/>
    <w:pPr>
      <w:spacing w:before="240" w:after="60"/>
      <w:jc w:val="center"/>
      <w:outlineLvl w:val="0"/>
    </w:pPr>
    <w:rPr>
      <w:rFonts w:ascii="Cambria" w:hAnsi="Cambria" w:eastAsiaTheme="minorEastAsia"/>
      <w:b/>
      <w:bCs/>
      <w:kern w:val="2"/>
      <w:sz w:val="32"/>
      <w:szCs w:val="32"/>
    </w:rPr>
  </w:style>
  <w:style w:type="paragraph" w:styleId="32">
    <w:name w:val="annotation subject"/>
    <w:basedOn w:val="15"/>
    <w:next w:val="15"/>
    <w:link w:val="104"/>
    <w:semiHidden/>
    <w:qFormat/>
    <w:uiPriority w:val="0"/>
    <w:rPr>
      <w:b/>
      <w:bCs/>
    </w:rPr>
  </w:style>
  <w:style w:type="paragraph" w:styleId="33">
    <w:name w:val="Body Text First Indent"/>
    <w:basedOn w:val="17"/>
    <w:link w:val="75"/>
    <w:unhideWhenUsed/>
    <w:qFormat/>
    <w:uiPriority w:val="0"/>
    <w:pPr>
      <w:ind w:firstLine="420" w:firstLineChars="100"/>
    </w:pPr>
    <w:rPr>
      <w:rFonts w:asciiTheme="minorHAnsi" w:hAnsiTheme="minorHAnsi" w:cstheme="minorBidi"/>
      <w:kern w:val="2"/>
      <w:szCs w:val="24"/>
    </w:rPr>
  </w:style>
  <w:style w:type="table" w:styleId="35">
    <w:name w:val="Table Grid"/>
    <w:basedOn w:val="3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qFormat/>
    <w:uiPriority w:val="0"/>
    <w:rPr>
      <w:color w:val="555555"/>
      <w:u w:val="none"/>
    </w:rPr>
  </w:style>
  <w:style w:type="character" w:styleId="40">
    <w:name w:val="Emphasis"/>
    <w:qFormat/>
    <w:uiPriority w:val="0"/>
    <w:rPr>
      <w:color w:val="CC0000"/>
    </w:rPr>
  </w:style>
  <w:style w:type="character" w:styleId="41">
    <w:name w:val="HTML Definition"/>
    <w:qFormat/>
    <w:uiPriority w:val="0"/>
  </w:style>
  <w:style w:type="character" w:styleId="42">
    <w:name w:val="HTML Variable"/>
    <w:uiPriority w:val="0"/>
  </w:style>
  <w:style w:type="character" w:styleId="43">
    <w:name w:val="Hyperlink"/>
    <w:basedOn w:val="36"/>
    <w:uiPriority w:val="99"/>
    <w:rPr>
      <w:color w:val="555555"/>
      <w:u w:val="none"/>
    </w:rPr>
  </w:style>
  <w:style w:type="character" w:styleId="44">
    <w:name w:val="annotation reference"/>
    <w:qFormat/>
    <w:uiPriority w:val="0"/>
    <w:rPr>
      <w:sz w:val="21"/>
      <w:szCs w:val="21"/>
    </w:rPr>
  </w:style>
  <w:style w:type="character" w:styleId="45">
    <w:name w:val="HTML Cite"/>
    <w:qFormat/>
    <w:uiPriority w:val="0"/>
  </w:style>
  <w:style w:type="paragraph" w:customStyle="1" w:styleId="46">
    <w:name w:val="6级 1.1.1.1.1.1"/>
    <w:basedOn w:val="8"/>
    <w:link w:val="47"/>
    <w:qFormat/>
    <w:uiPriority w:val="0"/>
    <w:pPr>
      <w:spacing w:before="312" w:after="312" w:line="240" w:lineRule="auto"/>
      <w:ind w:left="1134" w:hanging="1134"/>
    </w:pPr>
    <w:rPr>
      <w:rFonts w:ascii="Arial" w:hAnsi="Arial" w:eastAsia="微软雅黑" w:cstheme="minorBidi"/>
      <w:color w:val="000000"/>
    </w:rPr>
  </w:style>
  <w:style w:type="character" w:customStyle="1" w:styleId="47">
    <w:name w:val="6级 1.1.1.1.1.1 Char"/>
    <w:link w:val="46"/>
    <w:uiPriority w:val="0"/>
    <w:rPr>
      <w:rFonts w:ascii="Arial" w:hAnsi="Arial" w:eastAsia="微软雅黑"/>
      <w:b/>
      <w:bCs/>
      <w:color w:val="000000"/>
      <w:sz w:val="24"/>
    </w:rPr>
  </w:style>
  <w:style w:type="character" w:customStyle="1" w:styleId="48">
    <w:name w:val="标题 6 字符"/>
    <w:basedOn w:val="36"/>
    <w:link w:val="8"/>
    <w:semiHidden/>
    <w:qFormat/>
    <w:uiPriority w:val="9"/>
    <w:rPr>
      <w:rFonts w:asciiTheme="majorHAnsi" w:hAnsiTheme="majorHAnsi" w:eastAsiaTheme="majorEastAsia" w:cstheme="majorBidi"/>
      <w:b/>
      <w:bCs/>
      <w:sz w:val="24"/>
    </w:rPr>
  </w:style>
  <w:style w:type="character" w:customStyle="1" w:styleId="49">
    <w:name w:val="标题 1 字符"/>
    <w:basedOn w:val="36"/>
    <w:uiPriority w:val="9"/>
    <w:rPr>
      <w:rFonts w:ascii="Calibri" w:hAnsi="Calibri" w:eastAsia="宋体" w:cs="Times New Roman"/>
      <w:b/>
      <w:bCs/>
      <w:kern w:val="44"/>
      <w:sz w:val="44"/>
      <w:szCs w:val="44"/>
    </w:rPr>
  </w:style>
  <w:style w:type="character" w:customStyle="1" w:styleId="50">
    <w:name w:val="标题 2 字符"/>
    <w:basedOn w:val="36"/>
    <w:semiHidden/>
    <w:uiPriority w:val="9"/>
    <w:rPr>
      <w:rFonts w:asciiTheme="majorHAnsi" w:hAnsiTheme="majorHAnsi" w:eastAsiaTheme="majorEastAsia" w:cstheme="majorBidi"/>
      <w:b/>
      <w:bCs/>
      <w:kern w:val="0"/>
      <w:sz w:val="32"/>
      <w:szCs w:val="32"/>
    </w:rPr>
  </w:style>
  <w:style w:type="character" w:customStyle="1" w:styleId="51">
    <w:name w:val="标题 3 字符"/>
    <w:basedOn w:val="36"/>
    <w:semiHidden/>
    <w:qFormat/>
    <w:uiPriority w:val="9"/>
    <w:rPr>
      <w:rFonts w:ascii="Calibri" w:hAnsi="Calibri" w:eastAsia="宋体" w:cs="Times New Roman"/>
      <w:b/>
      <w:bCs/>
      <w:kern w:val="0"/>
      <w:sz w:val="32"/>
      <w:szCs w:val="32"/>
    </w:rPr>
  </w:style>
  <w:style w:type="character" w:customStyle="1" w:styleId="52">
    <w:name w:val="标题 4 字符"/>
    <w:basedOn w:val="36"/>
    <w:semiHidden/>
    <w:qFormat/>
    <w:uiPriority w:val="9"/>
    <w:rPr>
      <w:rFonts w:asciiTheme="majorHAnsi" w:hAnsiTheme="majorHAnsi" w:eastAsiaTheme="majorEastAsia" w:cstheme="majorBidi"/>
      <w:b/>
      <w:bCs/>
      <w:kern w:val="0"/>
      <w:sz w:val="28"/>
      <w:szCs w:val="28"/>
    </w:rPr>
  </w:style>
  <w:style w:type="character" w:customStyle="1" w:styleId="53">
    <w:name w:val="标题 5 字符"/>
    <w:basedOn w:val="36"/>
    <w:semiHidden/>
    <w:qFormat/>
    <w:uiPriority w:val="9"/>
    <w:rPr>
      <w:rFonts w:ascii="Calibri" w:hAnsi="Calibri" w:eastAsia="宋体" w:cs="Times New Roman"/>
      <w:b/>
      <w:bCs/>
      <w:kern w:val="0"/>
      <w:sz w:val="28"/>
      <w:szCs w:val="28"/>
    </w:rPr>
  </w:style>
  <w:style w:type="character" w:customStyle="1" w:styleId="54">
    <w:name w:val="标题 7 字符"/>
    <w:basedOn w:val="36"/>
    <w:semiHidden/>
    <w:uiPriority w:val="9"/>
    <w:rPr>
      <w:rFonts w:ascii="Calibri" w:hAnsi="Calibri" w:eastAsia="宋体" w:cs="Times New Roman"/>
      <w:b/>
      <w:bCs/>
      <w:kern w:val="0"/>
      <w:sz w:val="24"/>
    </w:rPr>
  </w:style>
  <w:style w:type="character" w:customStyle="1" w:styleId="55">
    <w:name w:val="标题 8 字符"/>
    <w:basedOn w:val="36"/>
    <w:semiHidden/>
    <w:qFormat/>
    <w:uiPriority w:val="9"/>
    <w:rPr>
      <w:rFonts w:asciiTheme="majorHAnsi" w:hAnsiTheme="majorHAnsi" w:eastAsiaTheme="majorEastAsia" w:cstheme="majorBidi"/>
      <w:kern w:val="0"/>
      <w:sz w:val="24"/>
    </w:rPr>
  </w:style>
  <w:style w:type="character" w:customStyle="1" w:styleId="56">
    <w:name w:val="标题 9 字符"/>
    <w:basedOn w:val="36"/>
    <w:semiHidden/>
    <w:uiPriority w:val="9"/>
    <w:rPr>
      <w:rFonts w:asciiTheme="majorHAnsi" w:hAnsiTheme="majorHAnsi" w:eastAsiaTheme="majorEastAsia" w:cstheme="majorBidi"/>
      <w:kern w:val="0"/>
      <w:szCs w:val="21"/>
    </w:rPr>
  </w:style>
  <w:style w:type="character" w:customStyle="1" w:styleId="57">
    <w:name w:val="页脚 字符1"/>
    <w:link w:val="23"/>
    <w:uiPriority w:val="99"/>
    <w:rPr>
      <w:rFonts w:eastAsia="宋体"/>
      <w:sz w:val="18"/>
    </w:rPr>
  </w:style>
  <w:style w:type="character" w:customStyle="1" w:styleId="58">
    <w:name w:val="标题 1 字符1"/>
    <w:link w:val="3"/>
    <w:qFormat/>
    <w:uiPriority w:val="0"/>
    <w:rPr>
      <w:rFonts w:ascii="Calibri" w:hAnsi="Calibri" w:eastAsia="宋体" w:cs="Times New Roman"/>
      <w:b/>
      <w:bCs/>
      <w:kern w:val="44"/>
      <w:sz w:val="28"/>
      <w:szCs w:val="44"/>
    </w:rPr>
  </w:style>
  <w:style w:type="character" w:customStyle="1" w:styleId="59">
    <w:name w:val="style591"/>
    <w:uiPriority w:val="0"/>
    <w:rPr>
      <w:rFonts w:hint="default" w:ascii="Arial" w:hAnsi="Arial"/>
      <w:sz w:val="18"/>
      <w:u w:val="none"/>
    </w:rPr>
  </w:style>
  <w:style w:type="character" w:customStyle="1" w:styleId="60">
    <w:name w:val="case31"/>
    <w:qFormat/>
    <w:uiPriority w:val="0"/>
    <w:rPr>
      <w:rFonts w:ascii="ˎ̥" w:hAnsi="ˎ̥" w:eastAsia="宋体"/>
      <w:sz w:val="24"/>
      <w:szCs w:val="24"/>
    </w:rPr>
  </w:style>
  <w:style w:type="character" w:customStyle="1" w:styleId="61">
    <w:name w:val="副标题 字符1"/>
    <w:link w:val="26"/>
    <w:qFormat/>
    <w:uiPriority w:val="0"/>
    <w:rPr>
      <w:rFonts w:ascii="Cambria" w:hAnsi="Cambria" w:cs="Times New Roman"/>
      <w:b/>
      <w:bCs/>
      <w:kern w:val="28"/>
      <w:sz w:val="32"/>
      <w:szCs w:val="32"/>
    </w:rPr>
  </w:style>
  <w:style w:type="character" w:customStyle="1" w:styleId="62">
    <w:name w:val="px_10"/>
    <w:basedOn w:val="36"/>
    <w:qFormat/>
    <w:uiPriority w:val="0"/>
  </w:style>
  <w:style w:type="character" w:customStyle="1" w:styleId="63">
    <w:name w:val="方案正文 Char1"/>
    <w:link w:val="64"/>
    <w:qFormat/>
    <w:uiPriority w:val="0"/>
    <w:rPr>
      <w:rFonts w:ascii="宋体" w:hAnsi="Arial"/>
      <w:bCs/>
      <w:sz w:val="24"/>
    </w:rPr>
  </w:style>
  <w:style w:type="paragraph" w:customStyle="1" w:styleId="64">
    <w:name w:val="方案正文"/>
    <w:basedOn w:val="1"/>
    <w:link w:val="63"/>
    <w:qFormat/>
    <w:uiPriority w:val="0"/>
    <w:pPr>
      <w:spacing w:line="360" w:lineRule="auto"/>
      <w:ind w:left="2804" w:firstLine="1044" w:firstLineChars="200"/>
      <w:jc w:val="both"/>
      <w:textAlignment w:val="auto"/>
    </w:pPr>
    <w:rPr>
      <w:rFonts w:ascii="宋体" w:hAnsi="Arial" w:eastAsiaTheme="minorEastAsia" w:cstheme="minorBidi"/>
      <w:bCs/>
      <w:kern w:val="2"/>
      <w:szCs w:val="24"/>
    </w:rPr>
  </w:style>
  <w:style w:type="character" w:customStyle="1" w:styleId="65">
    <w:name w:val="标题 4 字符1"/>
    <w:link w:val="6"/>
    <w:qFormat/>
    <w:uiPriority w:val="0"/>
    <w:rPr>
      <w:rFonts w:ascii="Arial" w:hAnsi="Arial" w:eastAsia="宋体" w:cs="Times New Roman"/>
      <w:b/>
      <w:bCs/>
      <w:kern w:val="0"/>
      <w:sz w:val="24"/>
      <w:szCs w:val="28"/>
    </w:rPr>
  </w:style>
  <w:style w:type="character" w:customStyle="1" w:styleId="66">
    <w:name w:val="批注文字 Char"/>
    <w:qFormat/>
    <w:uiPriority w:val="0"/>
    <w:rPr>
      <w:sz w:val="24"/>
    </w:rPr>
  </w:style>
  <w:style w:type="character" w:customStyle="1" w:styleId="67">
    <w:name w:val="Char Char6"/>
    <w:qFormat/>
    <w:uiPriority w:val="0"/>
    <w:rPr>
      <w:rFonts w:ascii="宋体" w:hAnsi="Courier New" w:eastAsia="宋体"/>
      <w:kern w:val="2"/>
      <w:sz w:val="21"/>
      <w:lang w:val="en-US" w:eastAsia="zh-CN" w:bidi="ar-SA"/>
    </w:rPr>
  </w:style>
  <w:style w:type="character" w:customStyle="1" w:styleId="68">
    <w:name w:val="页眉 字符1"/>
    <w:link w:val="24"/>
    <w:qFormat/>
    <w:uiPriority w:val="0"/>
    <w:rPr>
      <w:rFonts w:eastAsia="宋体"/>
      <w:sz w:val="18"/>
    </w:rPr>
  </w:style>
  <w:style w:type="character" w:customStyle="1" w:styleId="69">
    <w:name w:val="标题 5 字符1"/>
    <w:link w:val="7"/>
    <w:qFormat/>
    <w:uiPriority w:val="0"/>
    <w:rPr>
      <w:rFonts w:ascii="Calibri" w:hAnsi="Calibri" w:eastAsia="宋体" w:cs="Times New Roman"/>
      <w:b/>
      <w:bCs/>
      <w:kern w:val="0"/>
      <w:sz w:val="28"/>
      <w:szCs w:val="28"/>
    </w:rPr>
  </w:style>
  <w:style w:type="character" w:customStyle="1" w:styleId="70">
    <w:name w:val="style551"/>
    <w:qFormat/>
    <w:uiPriority w:val="0"/>
    <w:rPr>
      <w:rFonts w:hint="default" w:ascii="Arial" w:hAnsi="Arial"/>
      <w:color w:val="333333"/>
      <w:sz w:val="18"/>
    </w:rPr>
  </w:style>
  <w:style w:type="character" w:customStyle="1" w:styleId="71">
    <w:name w:val="List Paragraph Char"/>
    <w:link w:val="72"/>
    <w:qFormat/>
    <w:locked/>
    <w:uiPriority w:val="0"/>
  </w:style>
  <w:style w:type="paragraph" w:customStyle="1" w:styleId="72">
    <w:name w:val="列表段落1"/>
    <w:basedOn w:val="1"/>
    <w:link w:val="71"/>
    <w:qFormat/>
    <w:uiPriority w:val="0"/>
    <w:pPr>
      <w:adjustRightInd/>
      <w:spacing w:line="240" w:lineRule="auto"/>
      <w:ind w:firstLine="420" w:firstLineChars="200"/>
      <w:jc w:val="both"/>
      <w:textAlignment w:val="auto"/>
    </w:pPr>
    <w:rPr>
      <w:rFonts w:asciiTheme="minorHAnsi" w:hAnsiTheme="minorHAnsi" w:eastAsiaTheme="minorEastAsia" w:cstheme="minorBidi"/>
      <w:kern w:val="2"/>
      <w:sz w:val="21"/>
      <w:szCs w:val="24"/>
    </w:rPr>
  </w:style>
  <w:style w:type="character" w:customStyle="1" w:styleId="73">
    <w:name w:val="Char Char15"/>
    <w:qFormat/>
    <w:uiPriority w:val="0"/>
    <w:rPr>
      <w:rFonts w:eastAsia="宋体"/>
      <w:sz w:val="18"/>
      <w:lang w:val="en-US" w:eastAsia="zh-CN" w:bidi="ar-SA"/>
    </w:rPr>
  </w:style>
  <w:style w:type="character" w:customStyle="1" w:styleId="74">
    <w:name w:val="纯文本 字符1"/>
    <w:link w:val="19"/>
    <w:qFormat/>
    <w:uiPriority w:val="99"/>
    <w:rPr>
      <w:rFonts w:ascii="宋体" w:hAnsi="Courier New" w:eastAsia="宋体"/>
      <w:szCs w:val="21"/>
    </w:rPr>
  </w:style>
  <w:style w:type="character" w:customStyle="1" w:styleId="75">
    <w:name w:val="正文文本首行缩进 字符1"/>
    <w:link w:val="33"/>
    <w:qFormat/>
    <w:uiPriority w:val="0"/>
    <w:rPr>
      <w:rFonts w:eastAsia="宋体"/>
      <w:sz w:val="24"/>
      <w:lang w:val="en-US" w:eastAsia="zh-CN" w:bidi="ar-SA"/>
    </w:rPr>
  </w:style>
  <w:style w:type="character" w:customStyle="1" w:styleId="76">
    <w:name w:val="文档结构图 字符1"/>
    <w:link w:val="14"/>
    <w:qFormat/>
    <w:uiPriority w:val="0"/>
    <w:rPr>
      <w:rFonts w:eastAsia="宋体"/>
      <w:sz w:val="24"/>
      <w:shd w:val="clear" w:color="auto" w:fill="000080"/>
    </w:rPr>
  </w:style>
  <w:style w:type="character" w:customStyle="1" w:styleId="77">
    <w:name w:val="标题 2 字符1"/>
    <w:link w:val="4"/>
    <w:qFormat/>
    <w:uiPriority w:val="0"/>
    <w:rPr>
      <w:rFonts w:ascii="Arial" w:hAnsi="Arial" w:eastAsia="宋体" w:cs="Times New Roman"/>
      <w:b/>
      <w:bCs/>
      <w:kern w:val="0"/>
      <w:sz w:val="24"/>
      <w:szCs w:val="32"/>
    </w:rPr>
  </w:style>
  <w:style w:type="character" w:customStyle="1" w:styleId="78">
    <w:name w:val="正文文本 Char Char"/>
    <w:qFormat/>
    <w:uiPriority w:val="0"/>
    <w:rPr>
      <w:rFonts w:eastAsia="宋体"/>
      <w:kern w:val="2"/>
      <w:sz w:val="24"/>
      <w:szCs w:val="24"/>
      <w:lang w:val="en-US" w:eastAsia="zh-CN" w:bidi="ar-SA"/>
    </w:rPr>
  </w:style>
  <w:style w:type="character" w:customStyle="1" w:styleId="79">
    <w:name w:val="标题 8 字符1"/>
    <w:link w:val="10"/>
    <w:qFormat/>
    <w:uiPriority w:val="0"/>
    <w:rPr>
      <w:rFonts w:ascii="Arial" w:hAnsi="Arial" w:eastAsia="黑体" w:cs="Times New Roman"/>
      <w:kern w:val="0"/>
      <w:sz w:val="24"/>
    </w:rPr>
  </w:style>
  <w:style w:type="character" w:customStyle="1" w:styleId="80">
    <w:name w:val="标题 字符1"/>
    <w:link w:val="31"/>
    <w:uiPriority w:val="0"/>
    <w:rPr>
      <w:rFonts w:ascii="Cambria" w:hAnsi="Cambria" w:cs="Times New Roman"/>
      <w:b/>
      <w:bCs/>
      <w:sz w:val="32"/>
      <w:szCs w:val="32"/>
    </w:rPr>
  </w:style>
  <w:style w:type="character" w:customStyle="1" w:styleId="81">
    <w:name w:val="样式2 Char Char"/>
    <w:link w:val="82"/>
    <w:qFormat/>
    <w:uiPriority w:val="0"/>
    <w:rPr>
      <w:rFonts w:ascii="宋体" w:hAnsi="宋体"/>
      <w:szCs w:val="21"/>
    </w:rPr>
  </w:style>
  <w:style w:type="paragraph" w:customStyle="1" w:styleId="82">
    <w:name w:val="样式2"/>
    <w:basedOn w:val="1"/>
    <w:link w:val="81"/>
    <w:qFormat/>
    <w:uiPriority w:val="0"/>
    <w:pPr>
      <w:numPr>
        <w:ilvl w:val="1"/>
        <w:numId w:val="2"/>
      </w:numPr>
      <w:tabs>
        <w:tab w:val="left" w:pos="567"/>
        <w:tab w:val="left" w:pos="735"/>
      </w:tabs>
      <w:spacing w:line="240" w:lineRule="auto"/>
      <w:jc w:val="both"/>
    </w:pPr>
    <w:rPr>
      <w:rFonts w:ascii="宋体" w:hAnsi="宋体" w:eastAsiaTheme="minorEastAsia" w:cstheme="minorBidi"/>
      <w:kern w:val="2"/>
      <w:sz w:val="21"/>
      <w:szCs w:val="21"/>
    </w:rPr>
  </w:style>
  <w:style w:type="character" w:customStyle="1" w:styleId="83">
    <w:name w:val="标题 6 Char"/>
    <w:qFormat/>
    <w:uiPriority w:val="0"/>
    <w:rPr>
      <w:rFonts w:ascii="Arial" w:hAnsi="Arial" w:eastAsia="黑体"/>
      <w:b/>
      <w:bCs/>
      <w:sz w:val="24"/>
      <w:szCs w:val="24"/>
    </w:rPr>
  </w:style>
  <w:style w:type="character" w:customStyle="1" w:styleId="84">
    <w:name w:val="正文缩进 字符"/>
    <w:link w:val="12"/>
    <w:qFormat/>
    <w:uiPriority w:val="0"/>
    <w:rPr>
      <w:sz w:val="24"/>
    </w:rPr>
  </w:style>
  <w:style w:type="character" w:customStyle="1" w:styleId="85">
    <w:name w:val="标题 9 字符1"/>
    <w:link w:val="11"/>
    <w:qFormat/>
    <w:uiPriority w:val="0"/>
    <w:rPr>
      <w:rFonts w:ascii="Arial" w:hAnsi="Arial" w:eastAsia="黑体" w:cs="Times New Roman"/>
      <w:kern w:val="0"/>
      <w:szCs w:val="21"/>
    </w:rPr>
  </w:style>
  <w:style w:type="character" w:customStyle="1" w:styleId="86">
    <w:name w:val="标题 7 字符1"/>
    <w:link w:val="9"/>
    <w:qFormat/>
    <w:uiPriority w:val="0"/>
    <w:rPr>
      <w:rFonts w:ascii="Calibri" w:hAnsi="Calibri" w:eastAsia="宋体" w:cs="Times New Roman"/>
      <w:b/>
      <w:bCs/>
      <w:kern w:val="0"/>
      <w:sz w:val="24"/>
    </w:rPr>
  </w:style>
  <w:style w:type="character" w:customStyle="1" w:styleId="87">
    <w:name w:val="标题 3 字符1"/>
    <w:link w:val="5"/>
    <w:qFormat/>
    <w:uiPriority w:val="0"/>
    <w:rPr>
      <w:rFonts w:ascii="Calibri" w:hAnsi="Calibri" w:eastAsia="宋体" w:cs="Times New Roman"/>
      <w:b/>
      <w:bCs/>
      <w:kern w:val="0"/>
      <w:sz w:val="24"/>
      <w:szCs w:val="32"/>
    </w:rPr>
  </w:style>
  <w:style w:type="character" w:customStyle="1" w:styleId="88">
    <w:name w:val="日期 字符"/>
    <w:basedOn w:val="36"/>
    <w:link w:val="20"/>
    <w:qFormat/>
    <w:uiPriority w:val="0"/>
    <w:rPr>
      <w:rFonts w:ascii="Calibri" w:hAnsi="Calibri" w:eastAsia="宋体" w:cs="Times New Roman"/>
      <w:kern w:val="0"/>
      <w:sz w:val="24"/>
      <w:szCs w:val="20"/>
    </w:rPr>
  </w:style>
  <w:style w:type="character" w:customStyle="1" w:styleId="89">
    <w:name w:val="纯文本 字符"/>
    <w:basedOn w:val="36"/>
    <w:semiHidden/>
    <w:qFormat/>
    <w:uiPriority w:val="99"/>
    <w:rPr>
      <w:rFonts w:hAnsi="Courier New" w:cs="Courier New" w:asciiTheme="minorEastAsia"/>
      <w:kern w:val="0"/>
      <w:sz w:val="24"/>
      <w:szCs w:val="20"/>
    </w:rPr>
  </w:style>
  <w:style w:type="paragraph" w:customStyle="1" w:styleId="90">
    <w:name w:val="_Style 64"/>
    <w:basedOn w:val="1"/>
    <w:next w:val="91"/>
    <w:qFormat/>
    <w:uiPriority w:val="0"/>
    <w:pPr>
      <w:ind w:firstLine="200" w:firstLineChars="200"/>
    </w:pPr>
    <w:rPr>
      <w:kern w:val="2"/>
      <w:sz w:val="21"/>
      <w:szCs w:val="21"/>
    </w:rPr>
  </w:style>
  <w:style w:type="paragraph" w:customStyle="1" w:styleId="91">
    <w:name w:val="List Paragraph"/>
    <w:basedOn w:val="1"/>
    <w:qFormat/>
    <w:uiPriority w:val="34"/>
    <w:pPr>
      <w:ind w:firstLine="420" w:firstLineChars="200"/>
    </w:pPr>
  </w:style>
  <w:style w:type="paragraph" w:customStyle="1" w:styleId="92">
    <w:name w:val="PMletterTextBullet"/>
    <w:basedOn w:val="93"/>
    <w:qFormat/>
    <w:uiPriority w:val="0"/>
    <w:pPr>
      <w:numPr>
        <w:ilvl w:val="0"/>
        <w:numId w:val="3"/>
      </w:numPr>
      <w:tabs>
        <w:tab w:val="left" w:pos="1800"/>
      </w:tabs>
      <w:ind w:left="1800"/>
    </w:pPr>
  </w:style>
  <w:style w:type="paragraph" w:customStyle="1" w:styleId="93">
    <w:name w:val="PMletterText"/>
    <w:basedOn w:val="94"/>
    <w:qFormat/>
    <w:uiPriority w:val="0"/>
    <w:pPr>
      <w:spacing w:before="240"/>
      <w:ind w:left="720"/>
    </w:pPr>
  </w:style>
  <w:style w:type="paragraph" w:customStyle="1" w:styleId="94">
    <w:name w:val="PMstyle"/>
    <w:qFormat/>
    <w:uiPriority w:val="0"/>
    <w:rPr>
      <w:rFonts w:ascii="Tahoma" w:hAnsi="Tahoma" w:eastAsia="宋体" w:cs="Times New Roman"/>
      <w:kern w:val="0"/>
      <w:sz w:val="22"/>
      <w:szCs w:val="20"/>
      <w:lang w:val="en-US" w:eastAsia="zh-CN" w:bidi="ar-SA"/>
    </w:rPr>
  </w:style>
  <w:style w:type="character" w:customStyle="1" w:styleId="95">
    <w:name w:val="页脚 字符"/>
    <w:basedOn w:val="36"/>
    <w:semiHidden/>
    <w:qFormat/>
    <w:uiPriority w:val="99"/>
    <w:rPr>
      <w:rFonts w:ascii="Calibri" w:hAnsi="Calibri" w:eastAsia="宋体" w:cs="Times New Roman"/>
      <w:kern w:val="0"/>
      <w:sz w:val="18"/>
      <w:szCs w:val="18"/>
    </w:rPr>
  </w:style>
  <w:style w:type="character" w:customStyle="1" w:styleId="96">
    <w:name w:val="正文文本缩进 2 字符"/>
    <w:basedOn w:val="36"/>
    <w:link w:val="21"/>
    <w:qFormat/>
    <w:uiPriority w:val="0"/>
    <w:rPr>
      <w:rFonts w:ascii="Calibri" w:hAnsi="Calibri" w:eastAsia="宋体" w:cs="Times New Roman"/>
      <w:kern w:val="0"/>
      <w:sz w:val="24"/>
      <w:szCs w:val="20"/>
    </w:rPr>
  </w:style>
  <w:style w:type="character" w:customStyle="1" w:styleId="97">
    <w:name w:val="正文文本 字符"/>
    <w:basedOn w:val="36"/>
    <w:link w:val="17"/>
    <w:qFormat/>
    <w:uiPriority w:val="0"/>
    <w:rPr>
      <w:rFonts w:ascii="Calibri" w:hAnsi="Calibri" w:eastAsia="宋体" w:cs="Times New Roman"/>
      <w:kern w:val="0"/>
      <w:sz w:val="24"/>
      <w:szCs w:val="20"/>
    </w:rPr>
  </w:style>
  <w:style w:type="paragraph" w:customStyle="1" w:styleId="98">
    <w:name w:val="样式 标题 4 + 段前: 5 磅 段后: 5 磅 行距: 单倍行距"/>
    <w:basedOn w:val="6"/>
    <w:qFormat/>
    <w:uiPriority w:val="0"/>
    <w:pPr>
      <w:spacing w:before="100" w:after="100" w:line="240" w:lineRule="auto"/>
    </w:pPr>
    <w:rPr>
      <w:rFonts w:cs="宋体"/>
      <w:szCs w:val="20"/>
    </w:rPr>
  </w:style>
  <w:style w:type="paragraph" w:customStyle="1" w:styleId="9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100">
    <w:name w:val="文档结构图 字符"/>
    <w:basedOn w:val="36"/>
    <w:semiHidden/>
    <w:uiPriority w:val="99"/>
    <w:rPr>
      <w:rFonts w:ascii="Apple Color Emoji" w:hAnsi="Apple Color Emoji" w:eastAsia="宋体" w:cs="Times New Roman"/>
      <w:kern w:val="0"/>
      <w:sz w:val="26"/>
      <w:szCs w:val="26"/>
    </w:rPr>
  </w:style>
  <w:style w:type="character" w:customStyle="1" w:styleId="101">
    <w:name w:val="正文文本缩进 字符"/>
    <w:basedOn w:val="36"/>
    <w:link w:val="18"/>
    <w:qFormat/>
    <w:uiPriority w:val="0"/>
    <w:rPr>
      <w:rFonts w:ascii="Calibri" w:hAnsi="Calibri" w:eastAsia="宋体" w:cs="Times New Roman"/>
      <w:kern w:val="0"/>
      <w:sz w:val="24"/>
      <w:szCs w:val="20"/>
    </w:rPr>
  </w:style>
  <w:style w:type="paragraph" w:customStyle="1" w:styleId="102">
    <w:name w:val="样式 样式 标题 4 + 段前: 5 磅 段后: 5 磅 行距: 单倍行距 + 五号"/>
    <w:basedOn w:val="98"/>
    <w:uiPriority w:val="0"/>
    <w:rPr>
      <w:sz w:val="21"/>
    </w:rPr>
  </w:style>
  <w:style w:type="character" w:customStyle="1" w:styleId="103">
    <w:name w:val="批注文字 字符"/>
    <w:basedOn w:val="36"/>
    <w:link w:val="15"/>
    <w:semiHidden/>
    <w:qFormat/>
    <w:uiPriority w:val="99"/>
    <w:rPr>
      <w:rFonts w:ascii="Calibri" w:hAnsi="Calibri" w:eastAsia="宋体" w:cs="Times New Roman"/>
      <w:kern w:val="0"/>
      <w:sz w:val="24"/>
      <w:szCs w:val="20"/>
    </w:rPr>
  </w:style>
  <w:style w:type="character" w:customStyle="1" w:styleId="104">
    <w:name w:val="批注主题 字符"/>
    <w:basedOn w:val="103"/>
    <w:link w:val="32"/>
    <w:semiHidden/>
    <w:qFormat/>
    <w:uiPriority w:val="0"/>
    <w:rPr>
      <w:rFonts w:ascii="Calibri" w:hAnsi="Calibri" w:eastAsia="宋体" w:cs="Times New Roman"/>
      <w:b/>
      <w:bCs/>
      <w:kern w:val="0"/>
      <w:sz w:val="24"/>
      <w:szCs w:val="20"/>
    </w:rPr>
  </w:style>
  <w:style w:type="paragraph" w:customStyle="1" w:styleId="105">
    <w:name w:val="图标题"/>
    <w:basedOn w:val="1"/>
    <w:uiPriority w:val="0"/>
    <w:pPr>
      <w:numPr>
        <w:ilvl w:val="8"/>
        <w:numId w:val="4"/>
      </w:numPr>
      <w:tabs>
        <w:tab w:val="left" w:pos="735"/>
      </w:tabs>
    </w:pPr>
  </w:style>
  <w:style w:type="character" w:customStyle="1" w:styleId="106">
    <w:name w:val="副标题 字符"/>
    <w:basedOn w:val="36"/>
    <w:qFormat/>
    <w:uiPriority w:val="11"/>
    <w:rPr>
      <w:b/>
      <w:bCs/>
      <w:kern w:val="28"/>
      <w:sz w:val="32"/>
      <w:szCs w:val="32"/>
    </w:rPr>
  </w:style>
  <w:style w:type="character" w:customStyle="1" w:styleId="107">
    <w:name w:val="批注框文本 字符"/>
    <w:basedOn w:val="36"/>
    <w:link w:val="22"/>
    <w:qFormat/>
    <w:uiPriority w:val="0"/>
    <w:rPr>
      <w:rFonts w:ascii="Calibri" w:hAnsi="Calibri" w:eastAsia="宋体" w:cs="Times New Roman"/>
      <w:kern w:val="0"/>
      <w:sz w:val="18"/>
      <w:szCs w:val="18"/>
    </w:rPr>
  </w:style>
  <w:style w:type="paragraph" w:customStyle="1" w:styleId="108">
    <w:name w:val="Body Text 21"/>
    <w:basedOn w:val="1"/>
    <w:qFormat/>
    <w:uiPriority w:val="0"/>
    <w:pPr>
      <w:spacing w:before="240" w:line="400" w:lineRule="exact"/>
      <w:ind w:firstLine="357"/>
      <w:jc w:val="both"/>
    </w:pPr>
    <w:rPr>
      <w:kern w:val="2"/>
      <w:sz w:val="28"/>
    </w:rPr>
  </w:style>
  <w:style w:type="character" w:customStyle="1" w:styleId="109">
    <w:name w:val="标题 字符"/>
    <w:basedOn w:val="36"/>
    <w:uiPriority w:val="10"/>
    <w:rPr>
      <w:rFonts w:asciiTheme="majorHAnsi" w:hAnsiTheme="majorHAnsi" w:eastAsiaTheme="majorEastAsia" w:cstheme="majorBidi"/>
      <w:b/>
      <w:bCs/>
      <w:kern w:val="0"/>
      <w:sz w:val="32"/>
      <w:szCs w:val="32"/>
    </w:rPr>
  </w:style>
  <w:style w:type="paragraph" w:customStyle="1" w:styleId="110">
    <w:name w:val="样式 标题 5 + 段前: 5 磅 段后: 5 磅 行距: 单倍行距"/>
    <w:basedOn w:val="7"/>
    <w:uiPriority w:val="0"/>
    <w:pPr>
      <w:spacing w:before="100" w:after="100" w:line="240" w:lineRule="auto"/>
    </w:pPr>
    <w:rPr>
      <w:rFonts w:cs="宋体"/>
      <w:szCs w:val="20"/>
    </w:rPr>
  </w:style>
  <w:style w:type="character" w:customStyle="1" w:styleId="111">
    <w:name w:val="脚注文本 字符"/>
    <w:basedOn w:val="36"/>
    <w:link w:val="27"/>
    <w:qFormat/>
    <w:uiPriority w:val="0"/>
    <w:rPr>
      <w:rFonts w:ascii="Calibri" w:hAnsi="Calibri" w:eastAsia="宋体" w:cs="Times New Roman"/>
      <w:sz w:val="18"/>
      <w:szCs w:val="18"/>
    </w:rPr>
  </w:style>
  <w:style w:type="character" w:customStyle="1" w:styleId="112">
    <w:name w:val="正文文本缩进 3 字符"/>
    <w:basedOn w:val="36"/>
    <w:link w:val="28"/>
    <w:qFormat/>
    <w:uiPriority w:val="0"/>
    <w:rPr>
      <w:rFonts w:ascii="Calibri" w:hAnsi="Calibri" w:eastAsia="宋体" w:cs="Times New Roman"/>
      <w:kern w:val="0"/>
      <w:sz w:val="16"/>
      <w:szCs w:val="16"/>
    </w:rPr>
  </w:style>
  <w:style w:type="character" w:customStyle="1" w:styleId="113">
    <w:name w:val="正文文本 2 字符"/>
    <w:basedOn w:val="36"/>
    <w:link w:val="29"/>
    <w:qFormat/>
    <w:uiPriority w:val="0"/>
    <w:rPr>
      <w:rFonts w:ascii="Calibri" w:hAnsi="Calibri" w:eastAsia="宋体" w:cs="Times New Roman"/>
      <w:kern w:val="0"/>
      <w:sz w:val="24"/>
      <w:szCs w:val="20"/>
    </w:rPr>
  </w:style>
  <w:style w:type="character" w:customStyle="1" w:styleId="114">
    <w:name w:val="宏文本 字符"/>
    <w:basedOn w:val="36"/>
    <w:link w:val="2"/>
    <w:qFormat/>
    <w:uiPriority w:val="0"/>
    <w:rPr>
      <w:rFonts w:ascii="宋体" w:hAnsi="Calibri" w:eastAsia="宋体" w:cs="Times New Roman"/>
      <w:kern w:val="0"/>
      <w:sz w:val="24"/>
      <w:szCs w:val="20"/>
    </w:rPr>
  </w:style>
  <w:style w:type="character" w:customStyle="1" w:styleId="115">
    <w:name w:val="页眉 字符"/>
    <w:basedOn w:val="36"/>
    <w:semiHidden/>
    <w:qFormat/>
    <w:uiPriority w:val="99"/>
    <w:rPr>
      <w:rFonts w:ascii="Calibri" w:hAnsi="Calibri" w:eastAsia="宋体" w:cs="Times New Roman"/>
      <w:kern w:val="0"/>
      <w:sz w:val="18"/>
      <w:szCs w:val="18"/>
    </w:rPr>
  </w:style>
  <w:style w:type="character" w:customStyle="1" w:styleId="116">
    <w:name w:val="正文文本 3 字符"/>
    <w:basedOn w:val="36"/>
    <w:link w:val="16"/>
    <w:qFormat/>
    <w:uiPriority w:val="0"/>
    <w:rPr>
      <w:rFonts w:ascii="Calibri" w:hAnsi="Calibri" w:eastAsia="宋体" w:cs="Times New Roman"/>
      <w:kern w:val="0"/>
      <w:sz w:val="16"/>
      <w:szCs w:val="16"/>
    </w:rPr>
  </w:style>
  <w:style w:type="paragraph" w:customStyle="1" w:styleId="117">
    <w:name w:val="列出段落1"/>
    <w:basedOn w:val="1"/>
    <w:qFormat/>
    <w:uiPriority w:val="34"/>
    <w:pPr>
      <w:ind w:firstLine="420" w:firstLineChars="200"/>
    </w:pPr>
  </w:style>
  <w:style w:type="paragraph" w:customStyle="1" w:styleId="118">
    <w:name w:val="样式 宋体 五号 行距: 单倍行距"/>
    <w:basedOn w:val="1"/>
    <w:qFormat/>
    <w:uiPriority w:val="0"/>
    <w:pPr>
      <w:spacing w:line="240" w:lineRule="auto"/>
    </w:pPr>
    <w:rPr>
      <w:rFonts w:ascii="宋体" w:hAnsi="宋体" w:cs="宋体"/>
      <w:sz w:val="21"/>
    </w:rPr>
  </w:style>
  <w:style w:type="paragraph" w:customStyle="1" w:styleId="119">
    <w:name w:val="默认段落字体 Para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120">
    <w:name w:val="BankNormal"/>
    <w:basedOn w:val="1"/>
    <w:qFormat/>
    <w:uiPriority w:val="0"/>
    <w:pPr>
      <w:adjustRightInd/>
      <w:spacing w:line="312" w:lineRule="atLeast"/>
      <w:jc w:val="both"/>
      <w:textAlignment w:val="auto"/>
    </w:pPr>
    <w:rPr>
      <w:kern w:val="2"/>
      <w:sz w:val="21"/>
      <w:szCs w:val="24"/>
    </w:rPr>
  </w:style>
  <w:style w:type="paragraph" w:customStyle="1" w:styleId="121">
    <w:name w:val="样式 标题 2 + 宋体 五号 行距: 单倍行距"/>
    <w:basedOn w:val="4"/>
    <w:qFormat/>
    <w:uiPriority w:val="0"/>
    <w:pPr>
      <w:spacing w:line="240" w:lineRule="auto"/>
    </w:pPr>
    <w:rPr>
      <w:rFonts w:ascii="宋体" w:hAnsi="宋体" w:cs="宋体"/>
      <w:sz w:val="21"/>
      <w:szCs w:val="20"/>
    </w:rPr>
  </w:style>
  <w:style w:type="paragraph" w:customStyle="1" w:styleId="122">
    <w:name w:val="Default Text"/>
    <w:basedOn w:val="1"/>
    <w:qFormat/>
    <w:uiPriority w:val="0"/>
    <w:pPr>
      <w:widowControl/>
      <w:overflowPunct w:val="0"/>
      <w:autoSpaceDE w:val="0"/>
      <w:autoSpaceDN w:val="0"/>
      <w:spacing w:line="240" w:lineRule="auto"/>
    </w:pPr>
    <w:rPr>
      <w:rFonts w:eastAsia="仿宋_GB2312"/>
      <w:lang w:val="en-GB"/>
    </w:rPr>
  </w:style>
  <w:style w:type="paragraph" w:customStyle="1" w:styleId="123">
    <w:name w:val="正文1"/>
    <w:basedOn w:val="1"/>
    <w:qFormat/>
    <w:uiPriority w:val="0"/>
    <w:pPr>
      <w:adjustRightInd/>
      <w:spacing w:before="60" w:after="60" w:line="360" w:lineRule="auto"/>
      <w:ind w:left="1080"/>
      <w:jc w:val="both"/>
      <w:textAlignment w:val="auto"/>
      <w:outlineLvl w:val="6"/>
    </w:pPr>
    <w:rPr>
      <w:kern w:val="2"/>
      <w:szCs w:val="24"/>
    </w:rPr>
  </w:style>
  <w:style w:type="paragraph" w:customStyle="1" w:styleId="124">
    <w:name w:val="Char"/>
    <w:basedOn w:val="1"/>
    <w:qFormat/>
    <w:uiPriority w:val="0"/>
    <w:pPr>
      <w:tabs>
        <w:tab w:val="left" w:pos="432"/>
      </w:tabs>
      <w:spacing w:line="240" w:lineRule="auto"/>
      <w:ind w:left="432" w:hanging="432"/>
    </w:pPr>
    <w:rPr>
      <w:rFonts w:ascii="Tahoma" w:hAnsi="Tahoma"/>
      <w:kern w:val="2"/>
    </w:rPr>
  </w:style>
  <w:style w:type="paragraph" w:customStyle="1" w:styleId="125">
    <w:name w:val="TOC 标题1"/>
    <w:basedOn w:val="3"/>
    <w:next w:val="1"/>
    <w:qFormat/>
    <w:uiPriority w:val="39"/>
    <w:pPr>
      <w:spacing w:before="480" w:line="276" w:lineRule="auto"/>
      <w:outlineLvl w:val="9"/>
    </w:pPr>
    <w:rPr>
      <w:rFonts w:ascii="仿宋" w:hAnsi="仿宋" w:eastAsia="仿宋"/>
      <w:color w:val="000000"/>
      <w:kern w:val="0"/>
      <w:sz w:val="32"/>
      <w:szCs w:val="32"/>
    </w:rPr>
  </w:style>
  <w:style w:type="paragraph" w:customStyle="1" w:styleId="126">
    <w:name w:val="表格"/>
    <w:basedOn w:val="1"/>
    <w:qFormat/>
    <w:uiPriority w:val="0"/>
    <w:pPr>
      <w:adjustRightInd/>
      <w:spacing w:line="240" w:lineRule="auto"/>
      <w:textAlignment w:val="auto"/>
    </w:pPr>
    <w:rPr>
      <w:kern w:val="2"/>
      <w:sz w:val="18"/>
      <w:szCs w:val="24"/>
    </w:rPr>
  </w:style>
  <w:style w:type="paragraph" w:customStyle="1" w:styleId="127">
    <w:name w:val="正文3"/>
    <w:basedOn w:val="1"/>
    <w:qFormat/>
    <w:uiPriority w:val="0"/>
    <w:pPr>
      <w:adjustRightInd/>
      <w:spacing w:before="60" w:after="60" w:line="360" w:lineRule="auto"/>
      <w:jc w:val="both"/>
      <w:textAlignment w:val="auto"/>
      <w:outlineLvl w:val="8"/>
    </w:pPr>
    <w:rPr>
      <w:kern w:val="2"/>
      <w:szCs w:val="21"/>
    </w:rPr>
  </w:style>
  <w:style w:type="paragraph" w:customStyle="1" w:styleId="128">
    <w:name w:val="样式 样式 标题 2 + 宋体 五号 非加粗 黑色 + 段前: 6 磅 段后: 0 磅 行距: 单倍行距"/>
    <w:basedOn w:val="129"/>
    <w:qFormat/>
    <w:uiPriority w:val="0"/>
    <w:pPr>
      <w:spacing w:before="120" w:line="240" w:lineRule="auto"/>
    </w:pPr>
    <w:rPr>
      <w:rFonts w:cs="宋体"/>
      <w:szCs w:val="20"/>
    </w:rPr>
  </w:style>
  <w:style w:type="paragraph" w:customStyle="1" w:styleId="129">
    <w:name w:val="样式 标题 2 + 宋体 五号 非加粗 黑色"/>
    <w:basedOn w:val="4"/>
    <w:qFormat/>
    <w:uiPriority w:val="0"/>
    <w:rPr>
      <w:rFonts w:ascii="宋体" w:hAnsi="宋体"/>
      <w:b w:val="0"/>
      <w:bCs w:val="0"/>
      <w:color w:val="000000"/>
      <w:sz w:val="21"/>
    </w:rPr>
  </w:style>
  <w:style w:type="paragraph" w:customStyle="1" w:styleId="130">
    <w:name w:val="彩色列表 - 强调文字颜色 11"/>
    <w:basedOn w:val="1"/>
    <w:qFormat/>
    <w:uiPriority w:val="34"/>
    <w:pPr>
      <w:adjustRightInd/>
      <w:spacing w:line="240" w:lineRule="auto"/>
      <w:ind w:firstLine="420" w:firstLineChars="200"/>
      <w:jc w:val="both"/>
      <w:textAlignment w:val="auto"/>
    </w:pPr>
    <w:rPr>
      <w:kern w:val="2"/>
      <w:sz w:val="21"/>
    </w:rPr>
  </w:style>
  <w:style w:type="paragraph" w:customStyle="1" w:styleId="131">
    <w:name w:val="Body Text Indent 21"/>
    <w:basedOn w:val="1"/>
    <w:qFormat/>
    <w:uiPriority w:val="0"/>
    <w:pPr>
      <w:spacing w:line="240" w:lineRule="auto"/>
      <w:ind w:left="720" w:hanging="720"/>
      <w:jc w:val="both"/>
    </w:pPr>
    <w:rPr>
      <w:b/>
      <w:kern w:val="2"/>
      <w:sz w:val="28"/>
    </w:rPr>
  </w:style>
  <w:style w:type="paragraph" w:customStyle="1" w:styleId="132">
    <w:name w:val="正文 New New New New"/>
    <w:qFormat/>
    <w:uiPriority w:val="0"/>
    <w:pPr>
      <w:widowControl w:val="0"/>
      <w:jc w:val="both"/>
    </w:pPr>
    <w:rPr>
      <w:rFonts w:ascii="Calibri" w:hAnsi="Calibri" w:eastAsia="宋体" w:cs="Times New Roman"/>
      <w:kern w:val="0"/>
      <w:sz w:val="21"/>
      <w:szCs w:val="24"/>
      <w:lang w:val="en-US" w:eastAsia="zh-CN" w:bidi="ar-SA"/>
    </w:rPr>
  </w:style>
  <w:style w:type="paragraph" w:customStyle="1" w:styleId="133">
    <w:name w:val="heade"/>
    <w:basedOn w:val="1"/>
    <w:qFormat/>
    <w:uiPriority w:val="0"/>
    <w:pPr>
      <w:adjustRightInd/>
      <w:spacing w:line="312" w:lineRule="atLeast"/>
      <w:jc w:val="both"/>
      <w:textAlignment w:val="auto"/>
    </w:pPr>
    <w:rPr>
      <w:kern w:val="2"/>
      <w:sz w:val="21"/>
      <w:szCs w:val="24"/>
    </w:rPr>
  </w:style>
  <w:style w:type="paragraph" w:customStyle="1" w:styleId="134">
    <w:name w:val="样式 标题 3h3H3sect1.2.3 + 五号 段前: 6 磅 段后: 6 磅 行距: 单倍行距"/>
    <w:basedOn w:val="5"/>
    <w:qFormat/>
    <w:uiPriority w:val="0"/>
    <w:pPr>
      <w:spacing w:before="120" w:after="120" w:line="240" w:lineRule="auto"/>
    </w:pPr>
    <w:rPr>
      <w:rFonts w:cs="宋体"/>
      <w:sz w:val="21"/>
      <w:szCs w:val="20"/>
    </w:rPr>
  </w:style>
  <w:style w:type="paragraph" w:customStyle="1" w:styleId="135">
    <w:name w:val="缺省文本"/>
    <w:basedOn w:val="1"/>
    <w:qFormat/>
    <w:uiPriority w:val="0"/>
    <w:pPr>
      <w:widowControl/>
      <w:overflowPunct w:val="0"/>
      <w:autoSpaceDE w:val="0"/>
      <w:autoSpaceDN w:val="0"/>
      <w:spacing w:line="360" w:lineRule="auto"/>
      <w:ind w:firstLine="720"/>
      <w:jc w:val="both"/>
    </w:pPr>
    <w:rPr>
      <w:rFonts w:ascii="宋体" w:eastAsia="仿宋_GB2312"/>
      <w:sz w:val="28"/>
    </w:rPr>
  </w:style>
  <w:style w:type="paragraph" w:customStyle="1" w:styleId="136">
    <w:name w:val="Default"/>
    <w:qFormat/>
    <w:uiPriority w:val="0"/>
    <w:pPr>
      <w:widowControl w:val="0"/>
      <w:autoSpaceDE w:val="0"/>
      <w:autoSpaceDN w:val="0"/>
    </w:pPr>
    <w:rPr>
      <w:rFonts w:hint="eastAsia" w:ascii="宋体" w:hAnsi="宋体" w:eastAsia="宋体" w:cs="Times New Roman"/>
      <w:color w:val="000000"/>
      <w:kern w:val="0"/>
      <w:sz w:val="24"/>
      <w:szCs w:val="20"/>
      <w:lang w:val="en-US" w:eastAsia="zh-CN" w:bidi="ar-SA"/>
    </w:rPr>
  </w:style>
  <w:style w:type="paragraph" w:customStyle="1" w:styleId="137">
    <w:name w:val="正文文本缩进1"/>
    <w:basedOn w:val="1"/>
    <w:qFormat/>
    <w:uiPriority w:val="0"/>
    <w:pPr>
      <w:snapToGrid w:val="0"/>
      <w:spacing w:line="312" w:lineRule="auto"/>
      <w:ind w:firstLine="480" w:firstLineChars="200"/>
    </w:pPr>
    <w:rPr>
      <w:rFonts w:ascii="宋体" w:hAnsi="宋体"/>
      <w:szCs w:val="24"/>
    </w:rPr>
  </w:style>
  <w:style w:type="paragraph" w:customStyle="1" w:styleId="138">
    <w:name w:val="7"/>
    <w:basedOn w:val="1"/>
    <w:next w:val="1"/>
    <w:qFormat/>
    <w:uiPriority w:val="0"/>
    <w:pPr>
      <w:adjustRightInd/>
      <w:spacing w:line="240" w:lineRule="auto"/>
      <w:jc w:val="both"/>
      <w:textAlignment w:val="auto"/>
    </w:pPr>
    <w:rPr>
      <w:kern w:val="2"/>
      <w:sz w:val="21"/>
      <w:szCs w:val="24"/>
    </w:rPr>
  </w:style>
  <w:style w:type="paragraph" w:customStyle="1" w:styleId="139">
    <w:name w:val="TOC Heading"/>
    <w:basedOn w:val="3"/>
    <w:next w:val="1"/>
    <w:qFormat/>
    <w:uiPriority w:val="39"/>
    <w:pPr>
      <w:widowControl/>
      <w:adjustRightInd/>
      <w:spacing w:before="480" w:line="276" w:lineRule="auto"/>
      <w:textAlignment w:val="auto"/>
      <w:outlineLvl w:val="9"/>
    </w:pPr>
    <w:rPr>
      <w:rFonts w:ascii="Cambria" w:hAnsi="Cambria"/>
      <w:color w:val="365F91"/>
      <w:kern w:val="0"/>
      <w:szCs w:val="28"/>
    </w:rPr>
  </w:style>
  <w:style w:type="paragraph" w:customStyle="1" w:styleId="140">
    <w:name w:val="彩色列表 - 着色 11"/>
    <w:basedOn w:val="1"/>
    <w:qFormat/>
    <w:uiPriority w:val="0"/>
    <w:pPr>
      <w:adjustRightInd/>
      <w:spacing w:line="240" w:lineRule="auto"/>
      <w:ind w:firstLine="420" w:firstLineChars="200"/>
      <w:jc w:val="both"/>
      <w:textAlignment w:val="auto"/>
    </w:pPr>
    <w:rPr>
      <w:kern w:val="2"/>
      <w:sz w:val="21"/>
      <w:szCs w:val="22"/>
    </w:rPr>
  </w:style>
  <w:style w:type="paragraph" w:customStyle="1" w:styleId="141">
    <w:name w:val="正文字缩2字"/>
    <w:basedOn w:val="1"/>
    <w:qFormat/>
    <w:uiPriority w:val="0"/>
    <w:pPr>
      <w:adjustRightInd/>
      <w:spacing w:before="60" w:after="60" w:line="360" w:lineRule="auto"/>
      <w:ind w:left="200" w:leftChars="200" w:firstLine="200" w:firstLineChars="200"/>
      <w:jc w:val="both"/>
      <w:textAlignment w:val="auto"/>
    </w:pPr>
    <w:rPr>
      <w:kern w:val="2"/>
      <w:szCs w:val="24"/>
    </w:rPr>
  </w:style>
  <w:style w:type="paragraph" w:customStyle="1" w:styleId="142">
    <w:name w:val="正文2"/>
    <w:basedOn w:val="1"/>
    <w:qFormat/>
    <w:uiPriority w:val="0"/>
    <w:pPr>
      <w:adjustRightInd/>
      <w:spacing w:before="60" w:after="60" w:line="360" w:lineRule="auto"/>
      <w:jc w:val="both"/>
      <w:textAlignment w:val="auto"/>
      <w:outlineLvl w:val="7"/>
    </w:pPr>
    <w:rPr>
      <w:kern w:val="2"/>
      <w:szCs w:val="24"/>
    </w:rPr>
  </w:style>
  <w:style w:type="paragraph" w:customStyle="1" w:styleId="143">
    <w:name w:val="Char Char16"/>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144">
    <w:name w:val="Normal_1"/>
    <w:qFormat/>
    <w:uiPriority w:val="0"/>
    <w:pPr>
      <w:widowControl w:val="0"/>
      <w:jc w:val="both"/>
    </w:pPr>
    <w:rPr>
      <w:rFonts w:ascii="Calibri" w:hAnsi="Calibri" w:eastAsia="宋体" w:cs="Times New Roman"/>
      <w:kern w:val="0"/>
      <w:sz w:val="20"/>
      <w:szCs w:val="24"/>
      <w:lang w:val="en-US" w:eastAsia="zh-CN" w:bidi="ar-SA"/>
    </w:rPr>
  </w:style>
  <w:style w:type="paragraph" w:customStyle="1" w:styleId="145">
    <w:name w:val="p0"/>
    <w:basedOn w:val="1"/>
    <w:qFormat/>
    <w:uiPriority w:val="0"/>
    <w:pPr>
      <w:widowControl/>
      <w:adjustRightInd/>
      <w:spacing w:line="240" w:lineRule="auto"/>
      <w:jc w:val="both"/>
      <w:textAlignment w:val="auto"/>
    </w:pPr>
    <w:rPr>
      <w:sz w:val="21"/>
      <w:szCs w:val="21"/>
    </w:rPr>
  </w:style>
  <w:style w:type="paragraph" w:customStyle="1" w:styleId="146">
    <w:name w:val="样式1"/>
    <w:basedOn w:val="1"/>
    <w:qFormat/>
    <w:uiPriority w:val="0"/>
    <w:pPr>
      <w:tabs>
        <w:tab w:val="left" w:pos="2553"/>
      </w:tabs>
      <w:spacing w:line="240" w:lineRule="auto"/>
      <w:jc w:val="both"/>
    </w:pPr>
    <w:rPr>
      <w:rFonts w:ascii="宋体" w:hAnsi="宋体"/>
      <w:sz w:val="21"/>
      <w:szCs w:val="21"/>
    </w:rPr>
  </w:style>
  <w:style w:type="paragraph" w:customStyle="1" w:styleId="147">
    <w:name w:val="PMtextBullet"/>
    <w:basedOn w:val="94"/>
    <w:qFormat/>
    <w:uiPriority w:val="0"/>
    <w:pPr>
      <w:numPr>
        <w:ilvl w:val="0"/>
        <w:numId w:val="5"/>
      </w:numPr>
      <w:tabs>
        <w:tab w:val="left" w:pos="2520"/>
      </w:tabs>
      <w:spacing w:after="200"/>
      <w:ind w:left="2520"/>
    </w:pPr>
  </w:style>
  <w:style w:type="paragraph" w:customStyle="1" w:styleId="148">
    <w:name w:val="1 Char Char Char Char"/>
    <w:basedOn w:val="1"/>
    <w:qFormat/>
    <w:uiPriority w:val="0"/>
    <w:pPr>
      <w:adjustRightInd/>
      <w:spacing w:line="240" w:lineRule="auto"/>
      <w:jc w:val="both"/>
      <w:textAlignment w:val="auto"/>
    </w:pPr>
    <w:rPr>
      <w:kern w:val="2"/>
      <w:sz w:val="21"/>
    </w:rPr>
  </w:style>
  <w:style w:type="paragraph" w:customStyle="1" w:styleId="149">
    <w:name w:val="样式 样式 样式 标题 2 + 宋体 五号 非加粗 黑色 + 段前: 6 磅 段后: 0 磅 行距: 单倍行距 + 段前: 12..."/>
    <w:basedOn w:val="128"/>
    <w:qFormat/>
    <w:uiPriority w:val="0"/>
    <w:pPr>
      <w:spacing w:before="240"/>
    </w:pPr>
  </w:style>
  <w:style w:type="paragraph" w:customStyle="1" w:styleId="150">
    <w:name w:val="Car Car"/>
    <w:basedOn w:val="1"/>
    <w:qFormat/>
    <w:uiPriority w:val="0"/>
    <w:pPr>
      <w:adjustRightInd/>
      <w:spacing w:line="240" w:lineRule="auto"/>
      <w:jc w:val="both"/>
      <w:textAlignment w:val="auto"/>
    </w:pPr>
    <w:rPr>
      <w:rFonts w:ascii="Tahoma" w:hAnsi="Tahoma"/>
      <w:kern w:val="2"/>
    </w:rPr>
  </w:style>
  <w:style w:type="paragraph" w:customStyle="1" w:styleId="151">
    <w:name w:val="纯文本1"/>
    <w:basedOn w:val="1"/>
    <w:qFormat/>
    <w:uiPriority w:val="0"/>
    <w:rPr>
      <w:rFonts w:ascii="宋体" w:hAnsi="Courier New"/>
      <w:kern w:val="2"/>
      <w:sz w:val="21"/>
      <w:szCs w:val="21"/>
    </w:rPr>
  </w:style>
  <w:style w:type="paragraph" w:customStyle="1" w:styleId="152">
    <w:name w:val="Char Char Char Char Char Char"/>
    <w:basedOn w:val="1"/>
    <w:qFormat/>
    <w:uiPriority w:val="0"/>
    <w:pPr>
      <w:spacing w:line="360" w:lineRule="auto"/>
      <w:jc w:val="both"/>
      <w:textAlignment w:val="auto"/>
    </w:pPr>
  </w:style>
  <w:style w:type="paragraph" w:customStyle="1" w:styleId="153">
    <w:name w:val="样式 宋体 五号 两端对齐 行距: 单倍行距1"/>
    <w:basedOn w:val="1"/>
    <w:qFormat/>
    <w:uiPriority w:val="0"/>
    <w:pPr>
      <w:spacing w:line="240" w:lineRule="auto"/>
      <w:jc w:val="both"/>
    </w:pPr>
    <w:rPr>
      <w:rFonts w:ascii="宋体" w:hAnsi="宋体" w:cs="宋体"/>
      <w:sz w:val="21"/>
    </w:rPr>
  </w:style>
  <w:style w:type="paragraph" w:customStyle="1" w:styleId="154">
    <w:name w:val="纯文本11"/>
    <w:basedOn w:val="1"/>
    <w:qFormat/>
    <w:uiPriority w:val="0"/>
    <w:rPr>
      <w:rFonts w:ascii="宋体" w:hAnsi="Courier New" w:cs="宋体"/>
      <w:szCs w:val="21"/>
    </w:rPr>
  </w:style>
  <w:style w:type="paragraph" w:customStyle="1" w:styleId="155">
    <w:name w:val="样式 样式 标题 5 + 段前: 5 磅 段后: 5 磅 行距: 单倍行距 + 五号"/>
    <w:basedOn w:val="110"/>
    <w:qFormat/>
    <w:uiPriority w:val="0"/>
    <w:rPr>
      <w:sz w:val="21"/>
    </w:rPr>
  </w:style>
  <w:style w:type="paragraph" w:customStyle="1" w:styleId="156">
    <w:name w:val="样式 样式 样式 样式 标题 2 + 宋体 五号 非加粗 黑色 + 段前: 6 磅 段后: 0 磅 行距: 单倍行距 + 段前:..."/>
    <w:basedOn w:val="149"/>
    <w:qFormat/>
    <w:uiPriority w:val="0"/>
    <w:rPr>
      <w:b/>
      <w:bCs/>
    </w:rPr>
  </w:style>
  <w:style w:type="paragraph" w:customStyle="1" w:styleId="157">
    <w:name w:val="样式 标题 1 + 四号 居中 段前: 12 磅 段后: 12 磅 行距: 单倍行距"/>
    <w:basedOn w:val="3"/>
    <w:qFormat/>
    <w:uiPriority w:val="0"/>
    <w:pPr>
      <w:spacing w:before="240" w:after="240" w:line="240" w:lineRule="auto"/>
    </w:pPr>
    <w:rPr>
      <w:rFonts w:cs="宋体"/>
      <w:szCs w:val="20"/>
    </w:rPr>
  </w:style>
  <w:style w:type="paragraph" w:customStyle="1" w:styleId="158">
    <w:name w:val="样式 宋体 五号 两端对齐 行距: 单倍行距"/>
    <w:basedOn w:val="1"/>
    <w:qFormat/>
    <w:uiPriority w:val="0"/>
    <w:pPr>
      <w:spacing w:line="240" w:lineRule="auto"/>
      <w:jc w:val="both"/>
    </w:pPr>
    <w:rPr>
      <w:rFonts w:ascii="宋体" w:hAnsi="宋体" w:cs="宋体"/>
      <w:sz w:val="21"/>
    </w:rPr>
  </w:style>
  <w:style w:type="paragraph" w:customStyle="1" w:styleId="159">
    <w:name w:val="样式8"/>
    <w:basedOn w:val="1"/>
    <w:next w:val="1"/>
    <w:qFormat/>
    <w:uiPriority w:val="0"/>
    <w:pPr>
      <w:widowControl/>
      <w:numPr>
        <w:ilvl w:val="1"/>
        <w:numId w:val="6"/>
      </w:numPr>
      <w:spacing w:before="156" w:beforeLines="50" w:after="156" w:afterLines="50" w:line="240" w:lineRule="auto"/>
      <w:outlineLvl w:val="1"/>
    </w:pPr>
    <w:rPr>
      <w:b/>
      <w:szCs w:val="24"/>
      <w:lang w:bidi="en-US"/>
    </w:rPr>
  </w:style>
  <w:style w:type="paragraph" w:customStyle="1" w:styleId="160">
    <w:name w:val="Char Char Char"/>
    <w:basedOn w:val="1"/>
    <w:qFormat/>
    <w:uiPriority w:val="0"/>
    <w:pPr>
      <w:adjustRightInd/>
      <w:spacing w:line="240" w:lineRule="auto"/>
      <w:jc w:val="both"/>
      <w:textAlignment w:val="auto"/>
    </w:pPr>
    <w:rPr>
      <w:rFonts w:ascii="Tahoma" w:hAnsi="Tahoma"/>
      <w:kern w:val="2"/>
    </w:rPr>
  </w:style>
  <w:style w:type="character" w:customStyle="1" w:styleId="161">
    <w:name w:val="正文文本首行缩进 字符"/>
    <w:basedOn w:val="97"/>
    <w:semiHidden/>
    <w:qFormat/>
    <w:uiPriority w:val="99"/>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4411</Words>
  <Characters>25145</Characters>
  <Lines>209</Lines>
  <Paragraphs>58</Paragraphs>
  <TotalTime>0</TotalTime>
  <ScaleCrop>false</ScaleCrop>
  <LinksUpToDate>false</LinksUpToDate>
  <CharactersWithSpaces>29498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2020-12-20T07:23:00Z</dcterms:created>
  <dc:creator>A5781</dc:creator>
  <cp:lastModifiedBy>记得你叫我王老八</cp:lastModifiedBy>
  <dcterms:modified xsi:type="dcterms:W3CDTF">2021-01-27T04:32:28Z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